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5E413D" w14:textId="77777777" w:rsidR="0092342E" w:rsidRDefault="0092342E"/>
    <w:p w14:paraId="2DF97C6E" w14:textId="77777777" w:rsidR="003F1886" w:rsidRDefault="003F1886" w:rsidP="003F1886">
      <w:pPr>
        <w:jc w:val="center"/>
        <w:rPr>
          <w:b/>
          <w:sz w:val="32"/>
          <w:szCs w:val="32"/>
        </w:rPr>
      </w:pPr>
      <w:r w:rsidRPr="005B2C67">
        <w:rPr>
          <w:b/>
          <w:sz w:val="32"/>
          <w:szCs w:val="32"/>
        </w:rPr>
        <w:t>Replicate analysis during analytical testing</w:t>
      </w:r>
    </w:p>
    <w:p w14:paraId="57275570" w14:textId="77777777" w:rsidR="006A3578" w:rsidRPr="002A3F0B" w:rsidRDefault="006A3578" w:rsidP="002A3F0B">
      <w:pPr>
        <w:spacing w:after="0" w:line="240" w:lineRule="auto"/>
        <w:rPr>
          <w:b/>
          <w:i/>
          <w:sz w:val="24"/>
          <w:szCs w:val="24"/>
        </w:rPr>
      </w:pPr>
      <w:r w:rsidRPr="002A3F0B">
        <w:rPr>
          <w:b/>
          <w:i/>
          <w:sz w:val="24"/>
          <w:szCs w:val="24"/>
        </w:rPr>
        <w:t xml:space="preserve">Summary Document </w:t>
      </w:r>
    </w:p>
    <w:p w14:paraId="3C856FDF" w14:textId="35D9E46D" w:rsidR="006A3578" w:rsidRDefault="006A3578" w:rsidP="002A3F0B">
      <w:pPr>
        <w:spacing w:after="0" w:line="240" w:lineRule="auto"/>
        <w:rPr>
          <w:b/>
          <w:i/>
          <w:sz w:val="24"/>
          <w:szCs w:val="24"/>
        </w:rPr>
      </w:pPr>
      <w:r w:rsidRPr="002A3F0B">
        <w:rPr>
          <w:b/>
          <w:i/>
          <w:sz w:val="24"/>
          <w:szCs w:val="24"/>
        </w:rPr>
        <w:t xml:space="preserve">Findings from a </w:t>
      </w:r>
      <w:r w:rsidR="00820E50">
        <w:rPr>
          <w:b/>
          <w:i/>
          <w:sz w:val="24"/>
          <w:szCs w:val="24"/>
        </w:rPr>
        <w:t>f</w:t>
      </w:r>
      <w:r w:rsidRPr="002A3F0B">
        <w:rPr>
          <w:b/>
          <w:i/>
          <w:sz w:val="24"/>
          <w:szCs w:val="24"/>
        </w:rPr>
        <w:t>acili</w:t>
      </w:r>
      <w:r w:rsidR="00A908AA" w:rsidRPr="002A3F0B">
        <w:rPr>
          <w:b/>
          <w:i/>
          <w:sz w:val="24"/>
          <w:szCs w:val="24"/>
        </w:rPr>
        <w:t>t</w:t>
      </w:r>
      <w:r w:rsidR="00820E50">
        <w:rPr>
          <w:b/>
          <w:i/>
          <w:sz w:val="24"/>
          <w:szCs w:val="24"/>
        </w:rPr>
        <w:t>ated d</w:t>
      </w:r>
      <w:r w:rsidRPr="002A3F0B">
        <w:rPr>
          <w:b/>
          <w:i/>
          <w:sz w:val="24"/>
          <w:szCs w:val="24"/>
        </w:rPr>
        <w:t>iscussion</w:t>
      </w:r>
      <w:r w:rsidR="0028576D" w:rsidRPr="002A3F0B">
        <w:rPr>
          <w:b/>
          <w:i/>
          <w:sz w:val="24"/>
          <w:szCs w:val="24"/>
        </w:rPr>
        <w:t>,</w:t>
      </w:r>
      <w:r w:rsidR="00820E50">
        <w:rPr>
          <w:b/>
          <w:i/>
          <w:sz w:val="24"/>
          <w:szCs w:val="24"/>
        </w:rPr>
        <w:t xml:space="preserve"> between peer l</w:t>
      </w:r>
      <w:r w:rsidRPr="002A3F0B">
        <w:rPr>
          <w:b/>
          <w:i/>
          <w:sz w:val="24"/>
          <w:szCs w:val="24"/>
        </w:rPr>
        <w:t>aboratories</w:t>
      </w:r>
      <w:r w:rsidR="0028576D" w:rsidRPr="002A3F0B">
        <w:rPr>
          <w:b/>
          <w:i/>
          <w:sz w:val="24"/>
          <w:szCs w:val="24"/>
        </w:rPr>
        <w:t>,</w:t>
      </w:r>
      <w:r w:rsidR="00820E50">
        <w:rPr>
          <w:b/>
          <w:i/>
          <w:sz w:val="24"/>
          <w:szCs w:val="24"/>
        </w:rPr>
        <w:t xml:space="preserve"> on replicate a</w:t>
      </w:r>
      <w:r w:rsidRPr="002A3F0B">
        <w:rPr>
          <w:b/>
          <w:i/>
          <w:sz w:val="24"/>
          <w:szCs w:val="24"/>
        </w:rPr>
        <w:t>naly</w:t>
      </w:r>
      <w:r w:rsidR="0028576D" w:rsidRPr="002A3F0B">
        <w:rPr>
          <w:b/>
          <w:i/>
          <w:sz w:val="24"/>
          <w:szCs w:val="24"/>
        </w:rPr>
        <w:t>s</w:t>
      </w:r>
      <w:r w:rsidRPr="002A3F0B">
        <w:rPr>
          <w:b/>
          <w:i/>
          <w:sz w:val="24"/>
          <w:szCs w:val="24"/>
        </w:rPr>
        <w:t>is</w:t>
      </w:r>
      <w:r w:rsidR="002A3F0B">
        <w:rPr>
          <w:b/>
          <w:i/>
          <w:sz w:val="24"/>
          <w:szCs w:val="24"/>
        </w:rPr>
        <w:t>.</w:t>
      </w:r>
      <w:r w:rsidRPr="002A3F0B">
        <w:rPr>
          <w:b/>
          <w:i/>
          <w:sz w:val="24"/>
          <w:szCs w:val="24"/>
        </w:rPr>
        <w:t xml:space="preserve"> </w:t>
      </w:r>
    </w:p>
    <w:p w14:paraId="2AB066FE" w14:textId="62BF8004" w:rsidR="002A3F0B" w:rsidRDefault="002A3F0B" w:rsidP="002A3F0B">
      <w:pPr>
        <w:spacing w:after="0" w:line="240" w:lineRule="auto"/>
        <w:rPr>
          <w:b/>
          <w:i/>
          <w:sz w:val="24"/>
          <w:szCs w:val="24"/>
        </w:rPr>
      </w:pPr>
      <w:r>
        <w:rPr>
          <w:b/>
          <w:i/>
          <w:sz w:val="24"/>
          <w:szCs w:val="24"/>
        </w:rPr>
        <w:t>Eurachem Ireland would like to thank all those who participated in the facilitated discussion.</w:t>
      </w:r>
    </w:p>
    <w:p w14:paraId="749F294F" w14:textId="77777777" w:rsidR="002A3F0B" w:rsidRPr="002A3F0B" w:rsidRDefault="002A3F0B" w:rsidP="002A3F0B">
      <w:pPr>
        <w:spacing w:after="0" w:line="240" w:lineRule="auto"/>
        <w:rPr>
          <w:b/>
          <w:i/>
          <w:sz w:val="24"/>
          <w:szCs w:val="24"/>
        </w:rPr>
      </w:pPr>
    </w:p>
    <w:p w14:paraId="66219B25" w14:textId="77777777" w:rsidR="003F1886" w:rsidRPr="00F0345B" w:rsidRDefault="003F1886" w:rsidP="00202B9E">
      <w:pPr>
        <w:jc w:val="both"/>
        <w:rPr>
          <w:b/>
        </w:rPr>
      </w:pPr>
      <w:r w:rsidRPr="00F0345B">
        <w:rPr>
          <w:b/>
        </w:rPr>
        <w:t>Introduction</w:t>
      </w:r>
    </w:p>
    <w:p w14:paraId="3249D22E" w14:textId="76C0AB0B" w:rsidR="00724DCE" w:rsidRDefault="008C2337" w:rsidP="00202B9E">
      <w:pPr>
        <w:jc w:val="both"/>
      </w:pPr>
      <w:r>
        <w:t xml:space="preserve">The question of replicate analysis is one that </w:t>
      </w:r>
      <w:proofErr w:type="gramStart"/>
      <w:r>
        <w:t>must be considered</w:t>
      </w:r>
      <w:proofErr w:type="gramEnd"/>
      <w:r>
        <w:t xml:space="preserve"> when analytical testing is carried out. While guidance is available on the use of replicates during method validation [1</w:t>
      </w:r>
      <w:r w:rsidR="00262933">
        <w:t>, 2</w:t>
      </w:r>
      <w:r>
        <w:t>] as par</w:t>
      </w:r>
      <w:r w:rsidR="00262933">
        <w:t>t of internal quality control [3</w:t>
      </w:r>
      <w:r>
        <w:t>] or the impact of replicate analys</w:t>
      </w:r>
      <w:r w:rsidR="00262933">
        <w:t>is on measurement uncertainty [4</w:t>
      </w:r>
      <w:r>
        <w:t>]</w:t>
      </w:r>
      <w:r w:rsidR="00262933">
        <w:t xml:space="preserve"> and its </w:t>
      </w:r>
      <w:proofErr w:type="gramStart"/>
      <w:r w:rsidR="00262933">
        <w:t>use</w:t>
      </w:r>
      <w:proofErr w:type="gramEnd"/>
      <w:r w:rsidR="00262933">
        <w:t xml:space="preserve"> in compliance assessment [5]</w:t>
      </w:r>
      <w:r w:rsidR="00F04274">
        <w:t xml:space="preserve">, </w:t>
      </w:r>
      <w:r w:rsidR="00AC5E7C">
        <w:t xml:space="preserve">there is a lack of </w:t>
      </w:r>
      <w:r w:rsidR="00724DCE">
        <w:t xml:space="preserve">general </w:t>
      </w:r>
      <w:r w:rsidR="00AC5E7C">
        <w:t xml:space="preserve">guidance available on replicate analysis during routine use of a test method. </w:t>
      </w:r>
      <w:r w:rsidR="00724DCE">
        <w:t xml:space="preserve">Guidelines produced by </w:t>
      </w:r>
      <w:r w:rsidR="008B3FED">
        <w:t>t</w:t>
      </w:r>
      <w:r w:rsidR="00724DCE">
        <w:t xml:space="preserve">he European Directorate for the Quality of Medicines and HealthCare (EDQM) are available which provide a protocol to manage </w:t>
      </w:r>
      <w:r w:rsidR="006F026A">
        <w:t xml:space="preserve">pharmaceutical </w:t>
      </w:r>
      <w:proofErr w:type="gramStart"/>
      <w:r w:rsidR="00724DCE">
        <w:t>samples which</w:t>
      </w:r>
      <w:proofErr w:type="gramEnd"/>
      <w:r w:rsidR="00724DCE">
        <w:t xml:space="preserve"> are out-of-specification [11]</w:t>
      </w:r>
      <w:r w:rsidR="00A908AA">
        <w:t>.</w:t>
      </w:r>
    </w:p>
    <w:p w14:paraId="5510EC3A" w14:textId="77777777" w:rsidR="00262933" w:rsidRDefault="00AC5E7C" w:rsidP="00202B9E">
      <w:pPr>
        <w:jc w:val="both"/>
      </w:pPr>
      <w:r>
        <w:t xml:space="preserve">When analysing a test sample, how many replicates </w:t>
      </w:r>
      <w:proofErr w:type="gramStart"/>
      <w:r>
        <w:t>should be carried out</w:t>
      </w:r>
      <w:proofErr w:type="gramEnd"/>
      <w:r>
        <w:t xml:space="preserve">? If the test sample must undergo repeat analysis, how many replicates </w:t>
      </w:r>
      <w:proofErr w:type="gramStart"/>
      <w:r>
        <w:t>should then be carried out</w:t>
      </w:r>
      <w:proofErr w:type="gramEnd"/>
      <w:r>
        <w:t xml:space="preserve">? Should a laboratory have criteria in place for comparability of replicates and how are these criteria determined? What </w:t>
      </w:r>
      <w:proofErr w:type="gramStart"/>
      <w:r>
        <w:t>should be done</w:t>
      </w:r>
      <w:proofErr w:type="gramEnd"/>
      <w:r>
        <w:t xml:space="preserve"> if these criteria are not met? </w:t>
      </w:r>
    </w:p>
    <w:p w14:paraId="05434BC9" w14:textId="3B698F32" w:rsidR="00F00454" w:rsidRDefault="00F00454" w:rsidP="00202B9E">
      <w:pPr>
        <w:jc w:val="both"/>
      </w:pPr>
      <w:r>
        <w:t xml:space="preserve">Eurachem Ireland organised a facilitated discussion on replicate </w:t>
      </w:r>
      <w:r w:rsidR="007C5CCF">
        <w:t>analysis in September 2021 that</w:t>
      </w:r>
      <w:r>
        <w:t xml:space="preserve"> brought representatives of a number of Irish laboratories together to discuss and to share knowledge </w:t>
      </w:r>
      <w:r w:rsidR="006A3578">
        <w:t xml:space="preserve">and their approaches to the management of </w:t>
      </w:r>
      <w:r>
        <w:t>replicate analysis. This document has been prepared based on the facilitated discussion and aims to provide some guidance to laboratories determining their own approach to replicate analysis during analytical testing.</w:t>
      </w:r>
    </w:p>
    <w:p w14:paraId="01BF01EA" w14:textId="77777777" w:rsidR="003B07D8" w:rsidRPr="00F0345B" w:rsidRDefault="00F0345B" w:rsidP="00202B9E">
      <w:pPr>
        <w:jc w:val="both"/>
        <w:rPr>
          <w:b/>
        </w:rPr>
      </w:pPr>
      <w:r w:rsidRPr="00F0345B">
        <w:rPr>
          <w:b/>
        </w:rPr>
        <w:t>Procedure for replicate analysis</w:t>
      </w:r>
    </w:p>
    <w:p w14:paraId="17B921B6" w14:textId="77777777" w:rsidR="006F026A" w:rsidRDefault="00502EE7" w:rsidP="00202B9E">
      <w:pPr>
        <w:jc w:val="both"/>
      </w:pPr>
      <w:r>
        <w:t>Laboratories that</w:t>
      </w:r>
      <w:r w:rsidR="00F0345B">
        <w:t xml:space="preserve"> carry out analytical testing should document a procedure for replicate analysis. When developing this procedure they should take into account legislation and sectoral guidelines which may have requirements for the number of </w:t>
      </w:r>
      <w:proofErr w:type="gramStart"/>
      <w:r w:rsidR="00F0345B">
        <w:t>replicates which must be carried out</w:t>
      </w:r>
      <w:proofErr w:type="gramEnd"/>
      <w:r w:rsidR="00F0345B">
        <w:t xml:space="preserve"> and what is reported to the customer. </w:t>
      </w:r>
      <w:r w:rsidR="00D165E8">
        <w:t xml:space="preserve">In the absence of such guidelines, assessing what the test method </w:t>
      </w:r>
      <w:proofErr w:type="gramStart"/>
      <w:r w:rsidR="00D165E8">
        <w:t>is used</w:t>
      </w:r>
      <w:proofErr w:type="gramEnd"/>
      <w:r w:rsidR="00D165E8">
        <w:t xml:space="preserve"> for and the needs of the customer should </w:t>
      </w:r>
      <w:r>
        <w:t xml:space="preserve">ensure the procedure for replicate analysis is fit for purpose. </w:t>
      </w:r>
    </w:p>
    <w:p w14:paraId="344F0356" w14:textId="681555A0" w:rsidR="00F0345B" w:rsidRDefault="006A3578" w:rsidP="00202B9E">
      <w:pPr>
        <w:jc w:val="both"/>
      </w:pPr>
      <w:r>
        <w:t xml:space="preserve">The following are different approaches employed by the participating laboratories and it </w:t>
      </w:r>
      <w:proofErr w:type="gramStart"/>
      <w:r>
        <w:t>is suggested</w:t>
      </w:r>
      <w:proofErr w:type="gramEnd"/>
      <w:r>
        <w:t xml:space="preserve"> that they are points for </w:t>
      </w:r>
      <w:r w:rsidR="006F026A">
        <w:t>c</w:t>
      </w:r>
      <w:r w:rsidR="00502EE7">
        <w:t>onsideration</w:t>
      </w:r>
      <w:r>
        <w:t xml:space="preserve"> when a laboratory is devising its own policy</w:t>
      </w:r>
      <w:r w:rsidR="00502EE7">
        <w:t>:</w:t>
      </w:r>
    </w:p>
    <w:p w14:paraId="563FB7E8" w14:textId="77777777" w:rsidR="00502EE7" w:rsidRPr="00502EE7" w:rsidRDefault="00502EE7" w:rsidP="00202B9E">
      <w:pPr>
        <w:jc w:val="both"/>
        <w:rPr>
          <w:i/>
        </w:rPr>
      </w:pPr>
      <w:r w:rsidRPr="00502EE7">
        <w:rPr>
          <w:i/>
        </w:rPr>
        <w:t>Initial analysis carried out singly</w:t>
      </w:r>
    </w:p>
    <w:p w14:paraId="657F2BED" w14:textId="77777777" w:rsidR="00502EE7" w:rsidRDefault="00502EE7" w:rsidP="00202B9E">
      <w:pPr>
        <w:pStyle w:val="ListParagraph"/>
        <w:numPr>
          <w:ilvl w:val="0"/>
          <w:numId w:val="2"/>
        </w:numPr>
        <w:jc w:val="both"/>
      </w:pPr>
      <w:r>
        <w:t>Initial analysis is a screening analysis. Any positive results will be repeated using a confirmatory method</w:t>
      </w:r>
      <w:r w:rsidR="002309CD">
        <w:t>;</w:t>
      </w:r>
    </w:p>
    <w:p w14:paraId="5AC50B79" w14:textId="264F57DF" w:rsidR="00502EE7" w:rsidRDefault="00502EE7" w:rsidP="00202B9E">
      <w:pPr>
        <w:pStyle w:val="ListParagraph"/>
        <w:numPr>
          <w:ilvl w:val="0"/>
          <w:numId w:val="2"/>
        </w:numPr>
        <w:jc w:val="both"/>
      </w:pPr>
      <w:r>
        <w:t xml:space="preserve">Initial analysis is confirmatory but the </w:t>
      </w:r>
      <w:proofErr w:type="spellStart"/>
      <w:r>
        <w:t>analytes</w:t>
      </w:r>
      <w:proofErr w:type="spellEnd"/>
      <w:r>
        <w:t xml:space="preserve"> </w:t>
      </w:r>
      <w:proofErr w:type="gramStart"/>
      <w:r>
        <w:t>are banned</w:t>
      </w:r>
      <w:proofErr w:type="gramEnd"/>
      <w:r>
        <w:t>. A negative result is likely and the aim of the initial analysis is to confirm a negative. Any po</w:t>
      </w:r>
      <w:r w:rsidR="00820E50">
        <w:t>sitive results will be repeated;</w:t>
      </w:r>
    </w:p>
    <w:p w14:paraId="523FAB1E" w14:textId="5781FA16" w:rsidR="004B08A3" w:rsidRDefault="004B08A3" w:rsidP="00202B9E">
      <w:pPr>
        <w:pStyle w:val="ListParagraph"/>
        <w:numPr>
          <w:ilvl w:val="0"/>
          <w:numId w:val="2"/>
        </w:numPr>
        <w:jc w:val="both"/>
      </w:pPr>
      <w:r>
        <w:t>Sample size is limited.</w:t>
      </w:r>
    </w:p>
    <w:p w14:paraId="5455FBC5" w14:textId="77777777" w:rsidR="00262933" w:rsidRPr="002309CD" w:rsidRDefault="00E346A6" w:rsidP="00202B9E">
      <w:pPr>
        <w:jc w:val="both"/>
        <w:rPr>
          <w:i/>
        </w:rPr>
      </w:pPr>
      <w:r w:rsidRPr="002309CD">
        <w:rPr>
          <w:i/>
        </w:rPr>
        <w:t>Initial analysis carried out in duplicate</w:t>
      </w:r>
    </w:p>
    <w:p w14:paraId="01A8941B" w14:textId="77777777" w:rsidR="00E346A6" w:rsidRDefault="00E346A6" w:rsidP="00202B9E">
      <w:pPr>
        <w:pStyle w:val="ListParagraph"/>
        <w:numPr>
          <w:ilvl w:val="0"/>
          <w:numId w:val="3"/>
        </w:numPr>
        <w:jc w:val="both"/>
      </w:pPr>
      <w:r>
        <w:lastRenderedPageBreak/>
        <w:t>Positive results are expected. For example, the analysis may be to determine compliance to a declared value;</w:t>
      </w:r>
    </w:p>
    <w:p w14:paraId="3B4673A0" w14:textId="77777777" w:rsidR="00E346A6" w:rsidRDefault="00E346A6" w:rsidP="00202B9E">
      <w:pPr>
        <w:pStyle w:val="ListParagraph"/>
        <w:numPr>
          <w:ilvl w:val="0"/>
          <w:numId w:val="3"/>
        </w:numPr>
        <w:jc w:val="both"/>
      </w:pPr>
      <w:r>
        <w:t xml:space="preserve">The results of the analysis are expected </w:t>
      </w:r>
      <w:r w:rsidR="002309CD">
        <w:t>to be used in court;</w:t>
      </w:r>
    </w:p>
    <w:p w14:paraId="18CE9439" w14:textId="77777777" w:rsidR="002309CD" w:rsidRDefault="002309CD" w:rsidP="00202B9E">
      <w:pPr>
        <w:pStyle w:val="ListParagraph"/>
        <w:numPr>
          <w:ilvl w:val="0"/>
          <w:numId w:val="3"/>
        </w:numPr>
        <w:jc w:val="both"/>
      </w:pPr>
      <w:r>
        <w:t>Historically, there has been a lack of matrix homogeneity.</w:t>
      </w:r>
    </w:p>
    <w:p w14:paraId="48191E81" w14:textId="77777777" w:rsidR="005A1311" w:rsidRPr="005A1311" w:rsidRDefault="005A1311" w:rsidP="00202B9E">
      <w:pPr>
        <w:jc w:val="both"/>
        <w:rPr>
          <w:i/>
        </w:rPr>
      </w:pPr>
      <w:r w:rsidRPr="005A1311">
        <w:rPr>
          <w:i/>
        </w:rPr>
        <w:t>Repeat analysis carried out singly</w:t>
      </w:r>
    </w:p>
    <w:p w14:paraId="06B425DD" w14:textId="77777777" w:rsidR="005A1311" w:rsidRDefault="005A1311" w:rsidP="00202B9E">
      <w:pPr>
        <w:pStyle w:val="ListParagraph"/>
        <w:numPr>
          <w:ilvl w:val="0"/>
          <w:numId w:val="4"/>
        </w:numPr>
        <w:jc w:val="both"/>
      </w:pPr>
      <w:r>
        <w:t>Analysis is labour intensive and low numbers are analysed per batch;</w:t>
      </w:r>
    </w:p>
    <w:p w14:paraId="481D5172" w14:textId="0F707A29" w:rsidR="005A1311" w:rsidRDefault="005A1311" w:rsidP="00202B9E">
      <w:pPr>
        <w:pStyle w:val="ListParagraph"/>
        <w:numPr>
          <w:ilvl w:val="0"/>
          <w:numId w:val="4"/>
        </w:numPr>
        <w:jc w:val="both"/>
      </w:pPr>
      <w:r>
        <w:t xml:space="preserve">Repeat analysis </w:t>
      </w:r>
      <w:proofErr w:type="gramStart"/>
      <w:r>
        <w:t>is being carried out</w:t>
      </w:r>
      <w:proofErr w:type="gramEnd"/>
      <w:r>
        <w:t xml:space="preserve"> due to a QC or some other failure during initial analysis. There is no indication from the initial analysis that the t</w:t>
      </w:r>
      <w:r w:rsidR="00820E50">
        <w:t>est sample may be non-compliant;</w:t>
      </w:r>
    </w:p>
    <w:p w14:paraId="07C0DD2C" w14:textId="43818727" w:rsidR="00820E50" w:rsidRDefault="00820E50" w:rsidP="00202B9E">
      <w:pPr>
        <w:pStyle w:val="ListParagraph"/>
        <w:numPr>
          <w:ilvl w:val="0"/>
          <w:numId w:val="4"/>
        </w:numPr>
        <w:jc w:val="both"/>
      </w:pPr>
      <w:r>
        <w:t>Sample size is limited.</w:t>
      </w:r>
    </w:p>
    <w:p w14:paraId="27CA6B2A" w14:textId="77777777" w:rsidR="005A1311" w:rsidRPr="005A1311" w:rsidRDefault="005A1311" w:rsidP="00202B9E">
      <w:pPr>
        <w:jc w:val="both"/>
        <w:rPr>
          <w:i/>
        </w:rPr>
      </w:pPr>
      <w:r w:rsidRPr="005A1311">
        <w:rPr>
          <w:i/>
        </w:rPr>
        <w:t>Repeat analysis carried out in duplicate</w:t>
      </w:r>
    </w:p>
    <w:p w14:paraId="1B7E018D" w14:textId="77777777" w:rsidR="005A1311" w:rsidRDefault="005A1311" w:rsidP="00202B9E">
      <w:pPr>
        <w:pStyle w:val="ListParagraph"/>
        <w:numPr>
          <w:ilvl w:val="0"/>
          <w:numId w:val="4"/>
        </w:numPr>
        <w:jc w:val="both"/>
      </w:pPr>
      <w:r>
        <w:t xml:space="preserve">Initial analysis indicated that the test sample </w:t>
      </w:r>
      <w:proofErr w:type="gramStart"/>
      <w:r>
        <w:t>may</w:t>
      </w:r>
      <w:proofErr w:type="gramEnd"/>
      <w:r>
        <w:t xml:space="preserve"> be non-compliant.</w:t>
      </w:r>
    </w:p>
    <w:p w14:paraId="4C0E4927" w14:textId="391D254C" w:rsidR="0030556B" w:rsidRDefault="00BA1566" w:rsidP="00202B9E">
      <w:pPr>
        <w:jc w:val="both"/>
      </w:pPr>
      <w:r>
        <w:t>If initial or repeat analysis is to be carried out in duplicate, the laboratory must document</w:t>
      </w:r>
      <w:r w:rsidR="004B08A3">
        <w:t xml:space="preserve"> in </w:t>
      </w:r>
      <w:proofErr w:type="gramStart"/>
      <w:r w:rsidR="004B08A3">
        <w:t>advance</w:t>
      </w:r>
      <w:proofErr w:type="gramEnd"/>
      <w:r>
        <w:t xml:space="preserve"> what constitutes an acceptable replicate result and what is reported to the customer. </w:t>
      </w:r>
      <w:r w:rsidR="001516B5">
        <w:t>The laboratory may choose to implement a repeatability criterion. This can be an absolute value, for example:</w:t>
      </w:r>
    </w:p>
    <w:p w14:paraId="5B192938" w14:textId="77777777" w:rsidR="00DA118C" w:rsidRDefault="00DA118C" w:rsidP="00202B9E">
      <w:pPr>
        <w:jc w:val="both"/>
      </w:pPr>
    </w:p>
    <w:p w14:paraId="6F4F3131" w14:textId="77777777" w:rsidR="00E34B55" w:rsidRPr="00E34B55" w:rsidRDefault="00E34B55" w:rsidP="00202B9E">
      <w:pPr>
        <w:widowControl w:val="0"/>
        <w:jc w:val="both"/>
        <w:rPr>
          <w:i/>
        </w:rPr>
      </w:pPr>
      <w:r w:rsidRPr="00E34B55">
        <w:rPr>
          <w:i/>
        </w:rPr>
        <w:t>The difference between the results of the duplicate determinations must not exceed:</w:t>
      </w:r>
    </w:p>
    <w:p w14:paraId="4C1F1B90" w14:textId="77777777" w:rsidR="00E34B55" w:rsidRPr="00E34B55" w:rsidRDefault="00E34B55" w:rsidP="00202B9E">
      <w:pPr>
        <w:widowControl w:val="0"/>
        <w:jc w:val="both"/>
        <w:rPr>
          <w:i/>
        </w:rPr>
      </w:pPr>
      <w:r w:rsidRPr="00E34B55">
        <w:rPr>
          <w:i/>
        </w:rPr>
        <w:t>0.2% in absolute value for ash contents less than 10%</w:t>
      </w:r>
    </w:p>
    <w:p w14:paraId="60713967" w14:textId="77777777" w:rsidR="00E34B55" w:rsidRDefault="00E34B55" w:rsidP="00202B9E">
      <w:pPr>
        <w:widowControl w:val="0"/>
        <w:jc w:val="both"/>
        <w:rPr>
          <w:i/>
        </w:rPr>
      </w:pPr>
      <w:r w:rsidRPr="00E34B55">
        <w:rPr>
          <w:i/>
        </w:rPr>
        <w:t>Absolute values are calculated as follows:</w:t>
      </w:r>
      <w:r>
        <w:rPr>
          <w:i/>
        </w:rPr>
        <w:t xml:space="preserve"> </w:t>
      </w:r>
      <w:r w:rsidRPr="00E34B55">
        <w:rPr>
          <w:i/>
        </w:rPr>
        <w:t>% Crude Ash (higher result) -% Crude Ash (lower result)</w:t>
      </w:r>
      <w:r>
        <w:rPr>
          <w:i/>
        </w:rPr>
        <w:t>;</w:t>
      </w:r>
      <w:r w:rsidRPr="00E34B55">
        <w:rPr>
          <w:i/>
        </w:rPr>
        <w:t xml:space="preserve"> </w:t>
      </w:r>
    </w:p>
    <w:p w14:paraId="72B4194E" w14:textId="77777777" w:rsidR="00DA118C" w:rsidRPr="00E34B55" w:rsidRDefault="00DA118C" w:rsidP="00202B9E">
      <w:pPr>
        <w:widowControl w:val="0"/>
        <w:jc w:val="both"/>
        <w:rPr>
          <w:i/>
        </w:rPr>
      </w:pPr>
    </w:p>
    <w:p w14:paraId="023BACF7" w14:textId="2A4990FE" w:rsidR="00E34B55" w:rsidRDefault="00E34B55" w:rsidP="00202B9E">
      <w:pPr>
        <w:widowControl w:val="0"/>
        <w:jc w:val="both"/>
      </w:pPr>
      <w:proofErr w:type="gramStart"/>
      <w:r>
        <w:t>or</w:t>
      </w:r>
      <w:proofErr w:type="gramEnd"/>
      <w:r>
        <w:t xml:space="preserve"> a relative value</w:t>
      </w:r>
      <w:r w:rsidR="004B08A3">
        <w:t>, for example</w:t>
      </w:r>
      <w:r>
        <w:t>:</w:t>
      </w:r>
    </w:p>
    <w:p w14:paraId="46673B4C" w14:textId="77777777" w:rsidR="00DA118C" w:rsidRPr="00E34B55" w:rsidRDefault="00DA118C" w:rsidP="00202B9E">
      <w:pPr>
        <w:widowControl w:val="0"/>
        <w:jc w:val="both"/>
      </w:pPr>
    </w:p>
    <w:p w14:paraId="015ABBF7" w14:textId="77777777" w:rsidR="00E34B55" w:rsidRPr="00E34B55" w:rsidRDefault="00E34B55" w:rsidP="00202B9E">
      <w:pPr>
        <w:widowControl w:val="0"/>
        <w:jc w:val="both"/>
        <w:rPr>
          <w:i/>
        </w:rPr>
      </w:pPr>
      <w:r w:rsidRPr="00E34B55">
        <w:rPr>
          <w:i/>
        </w:rPr>
        <w:t>The difference between the results of the duplicate determinations must not exceed:</w:t>
      </w:r>
    </w:p>
    <w:p w14:paraId="10E9A5AF" w14:textId="77777777" w:rsidR="00E34B55" w:rsidRPr="00E34B55" w:rsidRDefault="00E34B55" w:rsidP="00202B9E">
      <w:pPr>
        <w:widowControl w:val="0"/>
        <w:jc w:val="both"/>
        <w:rPr>
          <w:i/>
        </w:rPr>
      </w:pPr>
      <w:proofErr w:type="gramStart"/>
      <w:r w:rsidRPr="00E34B55">
        <w:rPr>
          <w:i/>
        </w:rPr>
        <w:t>2</w:t>
      </w:r>
      <w:proofErr w:type="gramEnd"/>
      <w:r w:rsidRPr="00E34B55">
        <w:rPr>
          <w:i/>
        </w:rPr>
        <w:t>% of the higher figure for ash contents of not less than 10%</w:t>
      </w:r>
    </w:p>
    <w:p w14:paraId="6E85F1D4" w14:textId="77777777" w:rsidR="00E34B55" w:rsidRPr="00E34B55" w:rsidRDefault="00E34B55" w:rsidP="00202B9E">
      <w:pPr>
        <w:widowControl w:val="0"/>
        <w:jc w:val="both"/>
        <w:rPr>
          <w:i/>
        </w:rPr>
      </w:pPr>
      <w:r w:rsidRPr="00E34B55">
        <w:rPr>
          <w:i/>
        </w:rPr>
        <w:t xml:space="preserve">Relative values </w:t>
      </w:r>
      <w:proofErr w:type="gramStart"/>
      <w:r w:rsidRPr="00E34B55">
        <w:rPr>
          <w:i/>
        </w:rPr>
        <w:t>are calculated</w:t>
      </w:r>
      <w:proofErr w:type="gramEnd"/>
      <w:r w:rsidRPr="00E34B55">
        <w:rPr>
          <w:i/>
        </w:rPr>
        <w:t xml:space="preserve"> as follows:</w:t>
      </w:r>
    </w:p>
    <w:p w14:paraId="239B53C2" w14:textId="665A172B" w:rsidR="00E34B55" w:rsidRDefault="00E34B55" w:rsidP="00202B9E">
      <w:pPr>
        <w:jc w:val="both"/>
        <w:rPr>
          <w:i/>
        </w:rPr>
      </w:pPr>
      <w:r w:rsidRPr="00E34B55">
        <w:rPr>
          <w:i/>
        </w:rPr>
        <w:t>[(% Crude Ash (higher result) -% Crude Ash (lower result))/ Crude Ash (higher result)] x 100</w:t>
      </w:r>
    </w:p>
    <w:p w14:paraId="2937C58F" w14:textId="77777777" w:rsidR="00820E50" w:rsidRDefault="00820E50" w:rsidP="00202B9E">
      <w:pPr>
        <w:jc w:val="both"/>
        <w:rPr>
          <w:i/>
        </w:rPr>
      </w:pPr>
    </w:p>
    <w:p w14:paraId="3AE85D8A" w14:textId="77777777" w:rsidR="001516B5" w:rsidRDefault="00E34B55" w:rsidP="00202B9E">
      <w:pPr>
        <w:jc w:val="both"/>
      </w:pPr>
      <w:r>
        <w:t xml:space="preserve">Repeatability criteria </w:t>
      </w:r>
      <w:proofErr w:type="gramStart"/>
      <w:r>
        <w:t>can be specified</w:t>
      </w:r>
      <w:proofErr w:type="gramEnd"/>
      <w:r>
        <w:t xml:space="preserve"> in legislation</w:t>
      </w:r>
      <w:r w:rsidR="00FC322E">
        <w:t>, sectoral guidelines</w:t>
      </w:r>
      <w:r>
        <w:t xml:space="preserve"> or in EN or ISO standard methods. Alternately, repeatability criteria can be determined during val</w:t>
      </w:r>
      <w:r w:rsidR="00B00104">
        <w:t xml:space="preserve">idation of a method or by gathering data of replicate analysis during routine use of a method. Repeatability </w:t>
      </w:r>
      <w:proofErr w:type="gramStart"/>
      <w:r w:rsidR="00B00104">
        <w:t>can be calculated</w:t>
      </w:r>
      <w:proofErr w:type="gramEnd"/>
      <w:r w:rsidR="00B00104">
        <w:t xml:space="preserve"> using the standard deviation of the normalised differences. This procedure </w:t>
      </w:r>
      <w:proofErr w:type="gramStart"/>
      <w:r w:rsidR="00B00104">
        <w:t>is described</w:t>
      </w:r>
      <w:proofErr w:type="gramEnd"/>
      <w:r w:rsidR="00B00104">
        <w:t xml:space="preserve"> in the </w:t>
      </w:r>
      <w:r w:rsidR="00B00104" w:rsidRPr="00262933">
        <w:t>Eurachem/CITAC guide: Quantifying Uncertainty in Analytical Measurement</w:t>
      </w:r>
      <w:r w:rsidR="00B00104">
        <w:t xml:space="preserve"> [4].</w:t>
      </w:r>
      <w:r w:rsidR="00ED48FA">
        <w:t xml:space="preserve"> </w:t>
      </w:r>
    </w:p>
    <w:p w14:paraId="7F5937CB" w14:textId="77777777" w:rsidR="0030556B" w:rsidRDefault="00ED48FA" w:rsidP="00202B9E">
      <w:pPr>
        <w:jc w:val="both"/>
      </w:pPr>
      <w:r>
        <w:t xml:space="preserve">The laboratory should document what </w:t>
      </w:r>
      <w:proofErr w:type="gramStart"/>
      <w:r>
        <w:t>will be reported</w:t>
      </w:r>
      <w:proofErr w:type="gramEnd"/>
      <w:r>
        <w:t xml:space="preserve"> to the customer. Usually, the average of the replicates </w:t>
      </w:r>
      <w:proofErr w:type="gramStart"/>
      <w:r>
        <w:t>is reported</w:t>
      </w:r>
      <w:proofErr w:type="gramEnd"/>
      <w:r>
        <w:t xml:space="preserve">, once the repeatability and other acceptance criteria are met. </w:t>
      </w:r>
    </w:p>
    <w:p w14:paraId="1CBE5D96" w14:textId="63347400" w:rsidR="0030556B" w:rsidRPr="00084549" w:rsidRDefault="00C17894" w:rsidP="00202B9E">
      <w:pPr>
        <w:jc w:val="both"/>
        <w:rPr>
          <w:b/>
        </w:rPr>
      </w:pPr>
      <w:r w:rsidRPr="00084549">
        <w:rPr>
          <w:b/>
        </w:rPr>
        <w:t>Procedure</w:t>
      </w:r>
      <w:r w:rsidR="00202B9E">
        <w:rPr>
          <w:b/>
        </w:rPr>
        <w:t xml:space="preserve"> when the acceptance criteria for replicate analysis </w:t>
      </w:r>
      <w:proofErr w:type="gramStart"/>
      <w:r w:rsidR="00202B9E">
        <w:rPr>
          <w:b/>
        </w:rPr>
        <w:t>are not met</w:t>
      </w:r>
      <w:proofErr w:type="gramEnd"/>
    </w:p>
    <w:p w14:paraId="4E18FA44" w14:textId="668BA0DD" w:rsidR="00C17894" w:rsidRDefault="00BB6222" w:rsidP="00202B9E">
      <w:pPr>
        <w:jc w:val="both"/>
      </w:pPr>
      <w:r>
        <w:lastRenderedPageBreak/>
        <w:t xml:space="preserve">The laboratory’s procedure on replicate analysis should document the steps the laboratory follows if </w:t>
      </w:r>
      <w:r w:rsidR="0028576D">
        <w:t xml:space="preserve">the acceptance criteria for replicate analysis </w:t>
      </w:r>
      <w:proofErr w:type="gramStart"/>
      <w:r w:rsidR="0028576D">
        <w:t>are not met</w:t>
      </w:r>
      <w:proofErr w:type="gramEnd"/>
      <w:r>
        <w:t xml:space="preserve">. This procedure will often involve further repeat analysis in duplicate. This can be an issue if the sample submitted to the laboratory is small. The laboratory may have insufficient sample to carry out another analysis. In this situation, the laboratory may consider implementing a minimum sample size and any samples </w:t>
      </w:r>
      <w:r w:rsidR="00084549">
        <w:t>smaller than</w:t>
      </w:r>
      <w:r>
        <w:t xml:space="preserve"> this minimum </w:t>
      </w:r>
      <w:proofErr w:type="gramStart"/>
      <w:r>
        <w:t>are rejected</w:t>
      </w:r>
      <w:proofErr w:type="gramEnd"/>
      <w:r>
        <w:t xml:space="preserve"> on submission to the laboratory. Alternately</w:t>
      </w:r>
      <w:r w:rsidR="00084549">
        <w:t>,</w:t>
      </w:r>
      <w:r>
        <w:t xml:space="preserve"> the laboratory may contact the customer and request further sample.</w:t>
      </w:r>
      <w:r w:rsidR="00084549">
        <w:t xml:space="preserve"> </w:t>
      </w:r>
    </w:p>
    <w:p w14:paraId="2F45D414" w14:textId="37BBB90B" w:rsidR="00084549" w:rsidRDefault="00084549" w:rsidP="00202B9E">
      <w:pPr>
        <w:jc w:val="both"/>
      </w:pPr>
      <w:r>
        <w:t xml:space="preserve">A failure of </w:t>
      </w:r>
      <w:r w:rsidR="0028576D">
        <w:t xml:space="preserve">the replicate analysis to meet acceptance criteria </w:t>
      </w:r>
      <w:r>
        <w:t>may indicate a lack of homogeneity in the sample. Laboratories should consider the following when developing their replicate analysis procedure:</w:t>
      </w:r>
    </w:p>
    <w:p w14:paraId="24E5C0C9" w14:textId="77777777" w:rsidR="00084549" w:rsidRDefault="00084549" w:rsidP="00202B9E">
      <w:pPr>
        <w:pStyle w:val="ListParagraph"/>
        <w:numPr>
          <w:ilvl w:val="0"/>
          <w:numId w:val="4"/>
        </w:numPr>
        <w:jc w:val="both"/>
      </w:pPr>
      <w:r>
        <w:t xml:space="preserve">Ensuring a representative laboratory sample </w:t>
      </w:r>
      <w:proofErr w:type="gramStart"/>
      <w:r>
        <w:t>is taken</w:t>
      </w:r>
      <w:proofErr w:type="gramEnd"/>
      <w:r>
        <w:t xml:space="preserve"> from the batch/lot being sampled is not the responsibility of the testing laboratory</w:t>
      </w:r>
      <w:r w:rsidR="00A67504">
        <w:t xml:space="preserve"> when the testing laboratory does not carry out the sampling. The testing laboratory can give relevant feedback to the body responsible for the sampling, however;</w:t>
      </w:r>
    </w:p>
    <w:p w14:paraId="1D21975E" w14:textId="044452A8" w:rsidR="00A67504" w:rsidRDefault="0028576D" w:rsidP="00202B9E">
      <w:pPr>
        <w:pStyle w:val="ListParagraph"/>
        <w:numPr>
          <w:ilvl w:val="0"/>
          <w:numId w:val="4"/>
        </w:numPr>
        <w:jc w:val="both"/>
      </w:pPr>
      <w:r>
        <w:t xml:space="preserve">A failure of the replicate analysis to meet acceptance criteria </w:t>
      </w:r>
      <w:r w:rsidR="00A67504">
        <w:t>may indicate that the sample preparation steps such as mixing, milling, homogenisation etc. were insufficient. The procedure may include a re-homogenisation of the entire original sample before test aliquots are taken for repeat analysis;</w:t>
      </w:r>
    </w:p>
    <w:p w14:paraId="2CB8BB67" w14:textId="77777777" w:rsidR="00A67504" w:rsidRDefault="00A67504" w:rsidP="00202B9E">
      <w:pPr>
        <w:pStyle w:val="ListParagraph"/>
        <w:numPr>
          <w:ilvl w:val="0"/>
          <w:numId w:val="4"/>
        </w:numPr>
        <w:jc w:val="both"/>
      </w:pPr>
      <w:r>
        <w:t xml:space="preserve">Certain sample preparation steps can cause samples and/or </w:t>
      </w:r>
      <w:proofErr w:type="spellStart"/>
      <w:r>
        <w:t>analytes</w:t>
      </w:r>
      <w:proofErr w:type="spellEnd"/>
      <w:r>
        <w:t xml:space="preserve"> t</w:t>
      </w:r>
      <w:r w:rsidR="004B5865">
        <w:t>o degrade and so these steps may</w:t>
      </w:r>
      <w:r>
        <w:t xml:space="preserve"> only </w:t>
      </w:r>
      <w:r w:rsidR="004B5865">
        <w:t xml:space="preserve">be </w:t>
      </w:r>
      <w:r>
        <w:t>carried out for repeat analysis;</w:t>
      </w:r>
    </w:p>
    <w:p w14:paraId="45FA387B" w14:textId="1BB11BC6" w:rsidR="00A67504" w:rsidRDefault="00A67504" w:rsidP="00202B9E">
      <w:pPr>
        <w:pStyle w:val="ListParagraph"/>
        <w:numPr>
          <w:ilvl w:val="0"/>
          <w:numId w:val="4"/>
        </w:numPr>
        <w:jc w:val="both"/>
      </w:pPr>
      <w:r>
        <w:t xml:space="preserve">Freeze-thawing </w:t>
      </w:r>
      <w:r w:rsidR="00CB6D78">
        <w:t xml:space="preserve">may </w:t>
      </w:r>
      <w:r>
        <w:t xml:space="preserve">impact sample and/or </w:t>
      </w:r>
      <w:proofErr w:type="spellStart"/>
      <w:r>
        <w:t>analyte</w:t>
      </w:r>
      <w:proofErr w:type="spellEnd"/>
      <w:r>
        <w:t xml:space="preserve"> stability;</w:t>
      </w:r>
    </w:p>
    <w:p w14:paraId="2B55AD43" w14:textId="77777777" w:rsidR="00A67504" w:rsidRDefault="00A67504" w:rsidP="00202B9E">
      <w:pPr>
        <w:pStyle w:val="ListParagraph"/>
        <w:numPr>
          <w:ilvl w:val="0"/>
          <w:numId w:val="4"/>
        </w:numPr>
        <w:jc w:val="both"/>
      </w:pPr>
      <w:r>
        <w:t>When laboratories are responsible for sampling, repeat analysis may include re-sampling.</w:t>
      </w:r>
    </w:p>
    <w:p w14:paraId="10E4B05F" w14:textId="042CB58C" w:rsidR="00084549" w:rsidRPr="00620649" w:rsidRDefault="00620649" w:rsidP="00202B9E">
      <w:pPr>
        <w:jc w:val="both"/>
        <w:rPr>
          <w:b/>
        </w:rPr>
      </w:pPr>
      <w:r w:rsidRPr="00620649">
        <w:rPr>
          <w:b/>
        </w:rPr>
        <w:t>Reporting results when</w:t>
      </w:r>
      <w:r w:rsidR="00202B9E">
        <w:rPr>
          <w:b/>
        </w:rPr>
        <w:t xml:space="preserve"> the acceptance criteria for replicate analysis are not met</w:t>
      </w:r>
    </w:p>
    <w:p w14:paraId="304ED580" w14:textId="71CF6836" w:rsidR="00620649" w:rsidRDefault="00620649" w:rsidP="00202B9E">
      <w:pPr>
        <w:jc w:val="both"/>
      </w:pPr>
      <w:proofErr w:type="gramStart"/>
      <w:r>
        <w:t xml:space="preserve">There are a number of approaches a laboratory may take when it has analysed a sample, repeated it in duplicate, repeated in duplicate again following re-sampling/re-homogenising if appropriate, and the </w:t>
      </w:r>
      <w:r w:rsidR="0028576D">
        <w:t xml:space="preserve">replicate analysis </w:t>
      </w:r>
      <w:r>
        <w:t>still fails</w:t>
      </w:r>
      <w:r w:rsidR="0028576D">
        <w:t xml:space="preserve"> to meet acceptance criteria</w:t>
      </w:r>
      <w:r>
        <w:t>.</w:t>
      </w:r>
      <w:proofErr w:type="gramEnd"/>
      <w:r>
        <w:t xml:space="preserve"> Whichever approach a laboratory chooses to </w:t>
      </w:r>
      <w:proofErr w:type="gramStart"/>
      <w:r>
        <w:t>take,</w:t>
      </w:r>
      <w:proofErr w:type="gramEnd"/>
      <w:r>
        <w:t xml:space="preserve"> it should be agreed with the customer and documented in the replicate analysis procedure. If the test method is accredited, it may be advisable to discuss the approach with INAB. </w:t>
      </w:r>
      <w:r w:rsidR="006E0F4E">
        <w:t xml:space="preserve">In each </w:t>
      </w:r>
      <w:proofErr w:type="gramStart"/>
      <w:r w:rsidR="006E0F4E">
        <w:t>case</w:t>
      </w:r>
      <w:proofErr w:type="gramEnd"/>
      <w:r w:rsidR="006E0F4E">
        <w:t xml:space="preserve"> it should be noted on the test report that the </w:t>
      </w:r>
      <w:r w:rsidR="0028576D">
        <w:t xml:space="preserve">replicate analysis </w:t>
      </w:r>
      <w:r w:rsidR="006E0F4E">
        <w:t>failed</w:t>
      </w:r>
      <w:r w:rsidR="0028576D">
        <w:t xml:space="preserve"> to meet acceptance criteria</w:t>
      </w:r>
      <w:r w:rsidR="006E0F4E">
        <w:t xml:space="preserve">. </w:t>
      </w:r>
      <w:r>
        <w:t>Some suggested approaches are</w:t>
      </w:r>
      <w:r w:rsidR="006E0F4E">
        <w:t>:</w:t>
      </w:r>
    </w:p>
    <w:p w14:paraId="5B6150B0" w14:textId="77777777" w:rsidR="006E0F4E" w:rsidRDefault="006E0F4E" w:rsidP="00202B9E">
      <w:pPr>
        <w:pStyle w:val="ListParagraph"/>
        <w:numPr>
          <w:ilvl w:val="0"/>
          <w:numId w:val="5"/>
        </w:numPr>
        <w:jc w:val="both"/>
      </w:pPr>
      <w:r>
        <w:t>The average of all replicates is reported;</w:t>
      </w:r>
    </w:p>
    <w:p w14:paraId="3F614AD3" w14:textId="77777777" w:rsidR="006E0F4E" w:rsidRDefault="006E0F4E" w:rsidP="00202B9E">
      <w:pPr>
        <w:pStyle w:val="ListParagraph"/>
        <w:numPr>
          <w:ilvl w:val="0"/>
          <w:numId w:val="5"/>
        </w:numPr>
        <w:jc w:val="both"/>
      </w:pPr>
      <w:r>
        <w:t>The average of the repeat analysis replicates is reported;</w:t>
      </w:r>
    </w:p>
    <w:p w14:paraId="12806728" w14:textId="6E721AEA" w:rsidR="000509DC" w:rsidRDefault="000509DC" w:rsidP="00202B9E">
      <w:pPr>
        <w:pStyle w:val="ListParagraph"/>
        <w:numPr>
          <w:ilvl w:val="0"/>
          <w:numId w:val="5"/>
        </w:numPr>
        <w:jc w:val="both"/>
      </w:pPr>
      <w:r>
        <w:t>The average of replicates which are within the MU of the test method of each other</w:t>
      </w:r>
      <w:r w:rsidR="0093084A">
        <w:t xml:space="preserve"> is reported</w:t>
      </w:r>
      <w:r>
        <w:t>;</w:t>
      </w:r>
    </w:p>
    <w:p w14:paraId="63022F96" w14:textId="77777777" w:rsidR="000509DC" w:rsidRDefault="000509DC" w:rsidP="00202B9E">
      <w:pPr>
        <w:pStyle w:val="ListParagraph"/>
        <w:numPr>
          <w:ilvl w:val="0"/>
          <w:numId w:val="5"/>
        </w:numPr>
        <w:jc w:val="both"/>
      </w:pPr>
      <w:r>
        <w:t>The average of the two closest replicates</w:t>
      </w:r>
      <w:r w:rsidR="0093084A">
        <w:t xml:space="preserve"> is reported</w:t>
      </w:r>
      <w:r>
        <w:t>;</w:t>
      </w:r>
    </w:p>
    <w:p w14:paraId="65E88753" w14:textId="77777777" w:rsidR="006E0F4E" w:rsidRDefault="006E0F4E" w:rsidP="00202B9E">
      <w:pPr>
        <w:pStyle w:val="ListParagraph"/>
        <w:numPr>
          <w:ilvl w:val="0"/>
          <w:numId w:val="5"/>
        </w:numPr>
        <w:jc w:val="both"/>
      </w:pPr>
      <w:r>
        <w:t>The lowest of the results is reported – this may be useful in areas where maximum levels are set in legislation and the legislation is written so as to give the “benefit of the doubt” to the producer;</w:t>
      </w:r>
    </w:p>
    <w:p w14:paraId="249C6255" w14:textId="77777777" w:rsidR="006E0F4E" w:rsidRDefault="006E0F4E" w:rsidP="00202B9E">
      <w:pPr>
        <w:pStyle w:val="ListParagraph"/>
        <w:numPr>
          <w:ilvl w:val="0"/>
          <w:numId w:val="5"/>
        </w:numPr>
        <w:jc w:val="both"/>
      </w:pPr>
      <w:r>
        <w:t>The average of replicates may be reported as an “indicative” result or state that the result is “in the order of”;</w:t>
      </w:r>
    </w:p>
    <w:p w14:paraId="1E750EED" w14:textId="64A3B035" w:rsidR="006E0F4E" w:rsidRDefault="006E0F4E" w:rsidP="00202B9E">
      <w:pPr>
        <w:pStyle w:val="ListParagraph"/>
        <w:numPr>
          <w:ilvl w:val="0"/>
          <w:numId w:val="5"/>
        </w:numPr>
        <w:jc w:val="both"/>
      </w:pPr>
      <w:r>
        <w:t xml:space="preserve">The laboratory may state that a test report </w:t>
      </w:r>
      <w:proofErr w:type="gramStart"/>
      <w:r>
        <w:t>cannot be issued</w:t>
      </w:r>
      <w:proofErr w:type="gramEnd"/>
      <w:r>
        <w:t>.</w:t>
      </w:r>
      <w:r w:rsidR="004B08A3">
        <w:t xml:space="preserve"> In this case</w:t>
      </w:r>
      <w:r w:rsidR="00820E50">
        <w:t>,</w:t>
      </w:r>
      <w:r w:rsidR="004B08A3">
        <w:t xml:space="preserve"> the customer </w:t>
      </w:r>
      <w:proofErr w:type="gramStart"/>
      <w:r w:rsidR="004B08A3">
        <w:t>should be contacted</w:t>
      </w:r>
      <w:proofErr w:type="gramEnd"/>
      <w:r w:rsidR="004B08A3">
        <w:t xml:space="preserve"> and the reason for not issuing a test report discussed.</w:t>
      </w:r>
    </w:p>
    <w:p w14:paraId="0BCA6ED8" w14:textId="77777777" w:rsidR="00F93B65" w:rsidRPr="00F93B65" w:rsidRDefault="00F93B65" w:rsidP="00202B9E">
      <w:pPr>
        <w:jc w:val="both"/>
        <w:rPr>
          <w:b/>
        </w:rPr>
      </w:pPr>
      <w:r w:rsidRPr="00F93B65">
        <w:rPr>
          <w:b/>
        </w:rPr>
        <w:lastRenderedPageBreak/>
        <w:t>The use of outlier tests</w:t>
      </w:r>
    </w:p>
    <w:p w14:paraId="700B18A7" w14:textId="77777777" w:rsidR="00F93B65" w:rsidRDefault="00F93B65" w:rsidP="00202B9E">
      <w:pPr>
        <w:jc w:val="both"/>
      </w:pPr>
      <w:r>
        <w:t xml:space="preserve">When a laboratory has analysed a test sample a number of times and repeatability has failed, the use of outlier tests </w:t>
      </w:r>
      <w:proofErr w:type="gramStart"/>
      <w:r>
        <w:t>may be considered</w:t>
      </w:r>
      <w:proofErr w:type="gramEnd"/>
      <w:r>
        <w:t xml:space="preserve"> to determine if one or more of the data points are outliers. </w:t>
      </w:r>
      <w:proofErr w:type="gramStart"/>
      <w:r>
        <w:t>Incorrectly</w:t>
      </w:r>
      <w:proofErr w:type="gramEnd"/>
      <w:r>
        <w:t xml:space="preserve"> retaining or omitting a data point can have a significant effect on a test result, particularly </w:t>
      </w:r>
      <w:r w:rsidR="0093084A">
        <w:t>if the data</w:t>
      </w:r>
      <w:r>
        <w:t>set is small. We must have a basis for data rejection</w:t>
      </w:r>
      <w:r w:rsidR="004C36FA">
        <w:t>, rather than just thinking a data point looks “out”. The ISO recommended test for outliers is the Grubbs test</w:t>
      </w:r>
      <w:r w:rsidR="000509DC">
        <w:t xml:space="preserve"> [6]</w:t>
      </w:r>
      <w:r w:rsidR="004C36FA">
        <w:t>.</w:t>
      </w:r>
    </w:p>
    <w:p w14:paraId="74BDA3BE" w14:textId="77777777" w:rsidR="004C36FA" w:rsidRPr="000F745E" w:rsidRDefault="004C36FA" w:rsidP="00202B9E">
      <w:pPr>
        <w:jc w:val="both"/>
        <w:rPr>
          <w:i/>
        </w:rPr>
      </w:pPr>
      <w:r w:rsidRPr="000F745E">
        <w:rPr>
          <w:i/>
        </w:rPr>
        <w:t>Grubbs test for outliers</w:t>
      </w:r>
    </w:p>
    <w:p w14:paraId="2A3FB193" w14:textId="77777777" w:rsidR="004C36FA" w:rsidRDefault="004C36FA" w:rsidP="00202B9E">
      <w:pPr>
        <w:pStyle w:val="ListParagraph"/>
        <w:numPr>
          <w:ilvl w:val="0"/>
          <w:numId w:val="6"/>
        </w:numPr>
        <w:jc w:val="both"/>
      </w:pPr>
      <w:r>
        <w:t>The Grubbs test is based on significance testing;</w:t>
      </w:r>
    </w:p>
    <w:p w14:paraId="688C307D" w14:textId="77777777" w:rsidR="004C36FA" w:rsidRDefault="004C36FA" w:rsidP="00202B9E">
      <w:pPr>
        <w:pStyle w:val="ListParagraph"/>
        <w:numPr>
          <w:ilvl w:val="0"/>
          <w:numId w:val="6"/>
        </w:numPr>
        <w:jc w:val="both"/>
      </w:pPr>
      <w:r>
        <w:t>It assumes the population has a normal error distribution;</w:t>
      </w:r>
    </w:p>
    <w:p w14:paraId="652D0E50" w14:textId="77777777" w:rsidR="004C36FA" w:rsidRDefault="0093084A" w:rsidP="00202B9E">
      <w:pPr>
        <w:pStyle w:val="ListParagraph"/>
        <w:numPr>
          <w:ilvl w:val="0"/>
          <w:numId w:val="6"/>
        </w:numPr>
        <w:jc w:val="both"/>
      </w:pPr>
      <w:r>
        <w:t>It t</w:t>
      </w:r>
      <w:r w:rsidR="004C36FA">
        <w:t>ests the hypothesis that all measurements come from the same population;</w:t>
      </w:r>
    </w:p>
    <w:p w14:paraId="0C8B0A47" w14:textId="51425247" w:rsidR="004C36FA" w:rsidRDefault="004C36FA" w:rsidP="00202B9E">
      <w:pPr>
        <w:pStyle w:val="ListParagraph"/>
        <w:numPr>
          <w:ilvl w:val="0"/>
          <w:numId w:val="6"/>
        </w:numPr>
        <w:jc w:val="both"/>
      </w:pPr>
      <w:r>
        <w:t>The G statistic is calculated</w:t>
      </w:r>
      <w:r w:rsidR="00A908AA">
        <w:t xml:space="preserve"> (</w:t>
      </w:r>
      <w:proofErr w:type="spellStart"/>
      <w:r w:rsidR="00A908AA">
        <w:t>G</w:t>
      </w:r>
      <w:r w:rsidR="00A908AA">
        <w:rPr>
          <w:vertAlign w:val="subscript"/>
        </w:rPr>
        <w:t>cal</w:t>
      </w:r>
      <w:proofErr w:type="spellEnd"/>
      <w:r w:rsidR="00A908AA">
        <w:t>)</w:t>
      </w:r>
      <w:r>
        <w:t>;</w:t>
      </w:r>
    </w:p>
    <w:p w14:paraId="4D15F8E5" w14:textId="236F4677" w:rsidR="004C36FA" w:rsidRDefault="004C36FA" w:rsidP="00202B9E">
      <w:pPr>
        <w:pStyle w:val="ListParagraph"/>
        <w:numPr>
          <w:ilvl w:val="0"/>
          <w:numId w:val="6"/>
        </w:numPr>
        <w:jc w:val="both"/>
      </w:pPr>
      <w:r>
        <w:t xml:space="preserve">The critical value </w:t>
      </w:r>
      <w:r w:rsidR="00A908AA">
        <w:t>of G (</w:t>
      </w:r>
      <w:proofErr w:type="spellStart"/>
      <w:r w:rsidR="00A908AA">
        <w:t>G</w:t>
      </w:r>
      <w:r w:rsidR="00A908AA" w:rsidRPr="00202B9E">
        <w:rPr>
          <w:vertAlign w:val="subscript"/>
        </w:rPr>
        <w:t>crit</w:t>
      </w:r>
      <w:proofErr w:type="spellEnd"/>
      <w:r w:rsidR="00A908AA">
        <w:t xml:space="preserve">) </w:t>
      </w:r>
      <w:r>
        <w:t xml:space="preserve">is obtained from </w:t>
      </w:r>
      <w:r w:rsidR="00A908AA">
        <w:t xml:space="preserve">statistical </w:t>
      </w:r>
      <w:r>
        <w:t>tables</w:t>
      </w:r>
      <w:r w:rsidR="0093084A">
        <w:t xml:space="preserve"> (</w:t>
      </w:r>
      <w:r w:rsidR="00A908AA">
        <w:t xml:space="preserve">significance level in this case is </w:t>
      </w:r>
      <w:r w:rsidR="0093084A">
        <w:t>0.05)</w:t>
      </w:r>
      <w:r>
        <w:t>;</w:t>
      </w:r>
    </w:p>
    <w:p w14:paraId="5EFA3E62" w14:textId="0DAA3365" w:rsidR="004C36FA" w:rsidRDefault="004C36FA" w:rsidP="00202B9E">
      <w:pPr>
        <w:pStyle w:val="ListParagraph"/>
        <w:numPr>
          <w:ilvl w:val="0"/>
          <w:numId w:val="6"/>
        </w:numPr>
        <w:jc w:val="both"/>
      </w:pPr>
      <w:r>
        <w:t xml:space="preserve">If </w:t>
      </w:r>
      <w:proofErr w:type="spellStart"/>
      <w:r>
        <w:t>G</w:t>
      </w:r>
      <w:r>
        <w:rPr>
          <w:vertAlign w:val="subscript"/>
        </w:rPr>
        <w:t>cal</w:t>
      </w:r>
      <w:proofErr w:type="spellEnd"/>
      <w:r>
        <w:t>&gt;</w:t>
      </w:r>
      <w:proofErr w:type="spellStart"/>
      <w:r>
        <w:t>G</w:t>
      </w:r>
      <w:r>
        <w:rPr>
          <w:vertAlign w:val="subscript"/>
        </w:rPr>
        <w:t>crit</w:t>
      </w:r>
      <w:proofErr w:type="spellEnd"/>
      <w:r>
        <w:t xml:space="preserve">, then the </w:t>
      </w:r>
      <w:r w:rsidR="00A908AA">
        <w:t xml:space="preserve">null </w:t>
      </w:r>
      <w:r>
        <w:t xml:space="preserve">hypothesis </w:t>
      </w:r>
      <w:r w:rsidR="00A908AA">
        <w:t>(H</w:t>
      </w:r>
      <w:r w:rsidR="00A908AA" w:rsidRPr="00202B9E">
        <w:rPr>
          <w:vertAlign w:val="subscript"/>
        </w:rPr>
        <w:t>0</w:t>
      </w:r>
      <w:r w:rsidR="00A908AA">
        <w:t xml:space="preserve">) </w:t>
      </w:r>
      <w:r>
        <w:t>is rejected and the suspect value is deemed to be an outlier.</w:t>
      </w:r>
    </w:p>
    <w:p w14:paraId="41382399" w14:textId="5CD65BDE" w:rsidR="004C36FA" w:rsidRDefault="004C36FA">
      <w:pPr>
        <w:jc w:val="both"/>
      </w:pPr>
      <w:r>
        <w:t>Calculation of G statistic:</w:t>
      </w:r>
    </w:p>
    <w:p w14:paraId="21BA70F0" w14:textId="70C65C30" w:rsidR="004C36FA" w:rsidRDefault="00682222" w:rsidP="00202B9E">
      <w:pPr>
        <w:jc w:val="both"/>
      </w:pPr>
      <m:oMathPara>
        <m:oMath>
          <m:sSub>
            <m:sSubPr>
              <m:ctrlPr>
                <w:rPr>
                  <w:rFonts w:ascii="Cambria Math" w:hAnsi="Cambria Math"/>
                  <w:i/>
                </w:rPr>
              </m:ctrlPr>
            </m:sSubPr>
            <m:e>
              <m:r>
                <w:rPr>
                  <w:rFonts w:ascii="Cambria Math" w:hAnsi="Cambria Math"/>
                </w:rPr>
                <m:t>G</m:t>
              </m:r>
            </m:e>
            <m:sub>
              <m:r>
                <w:rPr>
                  <w:rFonts w:ascii="Cambria Math" w:hAnsi="Cambria Math"/>
                </w:rPr>
                <m:t>cal</m:t>
              </m:r>
            </m:sub>
          </m:sSub>
          <m:r>
            <w:rPr>
              <w:rFonts w:ascii="Cambria Math" w:hAnsi="Cambria Math"/>
            </w:rPr>
            <m:t>=</m:t>
          </m:r>
          <m:f>
            <m:fPr>
              <m:ctrlPr>
                <w:rPr>
                  <w:rFonts w:ascii="Cambria Math" w:hAnsi="Cambria Math"/>
                  <w:i/>
                </w:rPr>
              </m:ctrlPr>
            </m:fPr>
            <m:num>
              <m:d>
                <m:dPr>
                  <m:begChr m:val="|"/>
                  <m:endChr m:val="|"/>
                  <m:ctrlPr>
                    <w:rPr>
                      <w:rFonts w:ascii="Cambria Math" w:hAnsi="Cambria Math"/>
                      <w:i/>
                    </w:rPr>
                  </m:ctrlPr>
                </m:dPr>
                <m:e>
                  <m:r>
                    <w:rPr>
                      <w:rFonts w:ascii="Cambria Math" w:hAnsi="Cambria Math"/>
                    </w:rPr>
                    <m:t>suspect value-</m:t>
                  </m:r>
                  <m:acc>
                    <m:accPr>
                      <m:chr m:val="̅"/>
                      <m:ctrlPr>
                        <w:rPr>
                          <w:rFonts w:ascii="Cambria Math" w:hAnsi="Cambria Math"/>
                          <w:i/>
                        </w:rPr>
                      </m:ctrlPr>
                    </m:accPr>
                    <m:e>
                      <m:r>
                        <w:rPr>
                          <w:rFonts w:ascii="Cambria Math" w:hAnsi="Cambria Math"/>
                        </w:rPr>
                        <m:t>x</m:t>
                      </m:r>
                    </m:e>
                  </m:acc>
                </m:e>
              </m:d>
            </m:num>
            <m:den>
              <m:r>
                <w:rPr>
                  <w:rFonts w:ascii="Cambria Math" w:hAnsi="Cambria Math"/>
                </w:rPr>
                <m:t>s</m:t>
              </m:r>
            </m:den>
          </m:f>
        </m:oMath>
      </m:oMathPara>
    </w:p>
    <w:p w14:paraId="088B5E30" w14:textId="3D8A83BF" w:rsidR="008418D3" w:rsidRDefault="00A908AA" w:rsidP="004C36FA">
      <w:r>
        <w:t xml:space="preserve">Note: </w:t>
      </w:r>
      <m:oMath>
        <m:acc>
          <m:accPr>
            <m:chr m:val="̅"/>
            <m:ctrlPr>
              <w:rPr>
                <w:rFonts w:ascii="Cambria Math" w:hAnsi="Cambria Math"/>
                <w:i/>
              </w:rPr>
            </m:ctrlPr>
          </m:accPr>
          <m:e>
            <m:r>
              <w:rPr>
                <w:rFonts w:ascii="Cambria Math" w:hAnsi="Cambria Math"/>
              </w:rPr>
              <m:t>x</m:t>
            </m:r>
          </m:e>
        </m:acc>
      </m:oMath>
      <w:r>
        <w:t xml:space="preserve"> and </w:t>
      </w:r>
      <w:proofErr w:type="spellStart"/>
      <w:r w:rsidRPr="00202B9E">
        <w:rPr>
          <w:i/>
          <w:iCs/>
        </w:rPr>
        <w:t>s</w:t>
      </w:r>
      <w:proofErr w:type="spellEnd"/>
      <w:r>
        <w:t xml:space="preserve"> </w:t>
      </w:r>
      <w:proofErr w:type="gramStart"/>
      <w:r>
        <w:t>are calculated</w:t>
      </w:r>
      <w:proofErr w:type="gramEnd"/>
      <w:r>
        <w:t xml:space="preserve"> with the suspect value included, as H</w:t>
      </w:r>
      <w:r w:rsidRPr="00202B9E">
        <w:rPr>
          <w:vertAlign w:val="subscript"/>
        </w:rPr>
        <w:t>0</w:t>
      </w:r>
      <w:r>
        <w:t xml:space="preserve"> presumes that there are no outliers.</w:t>
      </w:r>
    </w:p>
    <w:p w14:paraId="2572B010" w14:textId="77777777" w:rsidR="00A908AA" w:rsidRDefault="00A908AA" w:rsidP="004C36FA">
      <w:pPr>
        <w:rPr>
          <w:i/>
        </w:rPr>
      </w:pPr>
    </w:p>
    <w:p w14:paraId="147EFCEE" w14:textId="77777777" w:rsidR="00A908AA" w:rsidRDefault="00A908AA" w:rsidP="004C36FA">
      <w:pPr>
        <w:rPr>
          <w:i/>
        </w:rPr>
      </w:pPr>
    </w:p>
    <w:p w14:paraId="65A91759" w14:textId="3BD92576" w:rsidR="004C36FA" w:rsidRPr="000F745E" w:rsidRDefault="008418D3" w:rsidP="004C36FA">
      <w:pPr>
        <w:rPr>
          <w:i/>
        </w:rPr>
      </w:pPr>
      <w:r w:rsidRPr="000F745E">
        <w:rPr>
          <w:i/>
        </w:rPr>
        <w:t>Q-Test (Dixon’s test)</w:t>
      </w:r>
    </w:p>
    <w:p w14:paraId="22F1AF37" w14:textId="77777777" w:rsidR="008418D3" w:rsidRDefault="008418D3" w:rsidP="004C36FA">
      <w:r>
        <w:t xml:space="preserve">Another </w:t>
      </w:r>
      <w:proofErr w:type="gramStart"/>
      <w:r>
        <w:t>test which may be used to determine if a suspect value is an outlier</w:t>
      </w:r>
      <w:proofErr w:type="gramEnd"/>
      <w:r>
        <w:t xml:space="preserve"> is the Q-test. </w:t>
      </w:r>
    </w:p>
    <w:p w14:paraId="2CDB8A74" w14:textId="77777777" w:rsidR="008418D3" w:rsidRDefault="008418D3" w:rsidP="008418D3">
      <w:pPr>
        <w:pStyle w:val="ListParagraph"/>
        <w:numPr>
          <w:ilvl w:val="0"/>
          <w:numId w:val="7"/>
        </w:numPr>
      </w:pPr>
      <w:r>
        <w:t xml:space="preserve">The Q-test compares the differences between a suspect value and </w:t>
      </w:r>
      <w:r w:rsidR="0093084A">
        <w:t>the measurement nearest to it in</w:t>
      </w:r>
      <w:r>
        <w:t xml:space="preserve"> size within the range of measurements.</w:t>
      </w:r>
    </w:p>
    <w:p w14:paraId="7D5B43D4" w14:textId="77777777" w:rsidR="008418D3" w:rsidRDefault="008418D3" w:rsidP="008418D3">
      <w:pPr>
        <w:pStyle w:val="ListParagraph"/>
        <w:numPr>
          <w:ilvl w:val="0"/>
          <w:numId w:val="7"/>
        </w:numPr>
      </w:pPr>
      <w:r>
        <w:t>It assumes the population has a normal error distribution;</w:t>
      </w:r>
    </w:p>
    <w:p w14:paraId="314604FE" w14:textId="77777777" w:rsidR="008418D3" w:rsidRDefault="0093084A" w:rsidP="008418D3">
      <w:pPr>
        <w:pStyle w:val="ListParagraph"/>
        <w:numPr>
          <w:ilvl w:val="0"/>
          <w:numId w:val="7"/>
        </w:numPr>
      </w:pPr>
      <w:r>
        <w:t>It t</w:t>
      </w:r>
      <w:r w:rsidR="008418D3">
        <w:t>ests the hypothesis that all measurements come from the same population;</w:t>
      </w:r>
    </w:p>
    <w:p w14:paraId="663A4A2E" w14:textId="53A234A7" w:rsidR="008418D3" w:rsidRDefault="008418D3" w:rsidP="008418D3">
      <w:pPr>
        <w:pStyle w:val="ListParagraph"/>
        <w:numPr>
          <w:ilvl w:val="0"/>
          <w:numId w:val="7"/>
        </w:numPr>
      </w:pPr>
      <w:r>
        <w:t>The Q statistic is calculated</w:t>
      </w:r>
      <w:r w:rsidR="00A908AA">
        <w:t xml:space="preserve"> (</w:t>
      </w:r>
      <w:proofErr w:type="spellStart"/>
      <w:r w:rsidR="00A908AA">
        <w:t>Q</w:t>
      </w:r>
      <w:r w:rsidR="00A908AA">
        <w:rPr>
          <w:vertAlign w:val="subscript"/>
        </w:rPr>
        <w:t>cal</w:t>
      </w:r>
      <w:proofErr w:type="spellEnd"/>
      <w:r w:rsidR="00A908AA">
        <w:t>)</w:t>
      </w:r>
      <w:r>
        <w:t>;</w:t>
      </w:r>
    </w:p>
    <w:p w14:paraId="20AD146B" w14:textId="16371A9D" w:rsidR="00A908AA" w:rsidRDefault="008418D3" w:rsidP="00A908AA">
      <w:pPr>
        <w:pStyle w:val="ListParagraph"/>
        <w:numPr>
          <w:ilvl w:val="0"/>
          <w:numId w:val="6"/>
        </w:numPr>
        <w:jc w:val="both"/>
      </w:pPr>
      <w:r>
        <w:t xml:space="preserve">The critical value </w:t>
      </w:r>
      <w:r w:rsidR="00A908AA">
        <w:t>of Q (</w:t>
      </w:r>
      <w:proofErr w:type="spellStart"/>
      <w:r w:rsidR="00A908AA">
        <w:t>Q</w:t>
      </w:r>
      <w:r w:rsidR="00A908AA" w:rsidRPr="00A908AA">
        <w:rPr>
          <w:vertAlign w:val="subscript"/>
        </w:rPr>
        <w:t>crit</w:t>
      </w:r>
      <w:proofErr w:type="spellEnd"/>
      <w:r w:rsidR="00A908AA">
        <w:t xml:space="preserve">) </w:t>
      </w:r>
      <w:r>
        <w:t xml:space="preserve">is obtained from </w:t>
      </w:r>
      <w:r w:rsidR="00A908AA">
        <w:t>statistical tables (significance level in this case is 0.05);</w:t>
      </w:r>
    </w:p>
    <w:p w14:paraId="649CD3BA" w14:textId="28254464" w:rsidR="000F745E" w:rsidRDefault="008418D3" w:rsidP="00757258">
      <w:pPr>
        <w:pStyle w:val="ListParagraph"/>
        <w:numPr>
          <w:ilvl w:val="0"/>
          <w:numId w:val="7"/>
        </w:numPr>
      </w:pPr>
      <w:r>
        <w:t xml:space="preserve">If </w:t>
      </w:r>
      <w:proofErr w:type="spellStart"/>
      <w:r>
        <w:t>Q</w:t>
      </w:r>
      <w:r w:rsidRPr="00A908AA">
        <w:rPr>
          <w:vertAlign w:val="subscript"/>
        </w:rPr>
        <w:t>cal</w:t>
      </w:r>
      <w:proofErr w:type="spellEnd"/>
      <w:r>
        <w:t>&gt;</w:t>
      </w:r>
      <w:proofErr w:type="spellStart"/>
      <w:r>
        <w:t>Q</w:t>
      </w:r>
      <w:r w:rsidRPr="00A908AA">
        <w:rPr>
          <w:vertAlign w:val="subscript"/>
        </w:rPr>
        <w:t>crit</w:t>
      </w:r>
      <w:proofErr w:type="spellEnd"/>
      <w:r>
        <w:t xml:space="preserve">, then </w:t>
      </w:r>
      <w:r w:rsidR="00A908AA" w:rsidRPr="00A908AA">
        <w:t>H</w:t>
      </w:r>
      <w:r w:rsidR="00A908AA" w:rsidRPr="00A908AA">
        <w:rPr>
          <w:vertAlign w:val="subscript"/>
        </w:rPr>
        <w:t>0</w:t>
      </w:r>
      <w:r w:rsidR="00A908AA">
        <w:t xml:space="preserve"> </w:t>
      </w:r>
      <w:r w:rsidRPr="00A908AA">
        <w:t>is</w:t>
      </w:r>
      <w:r>
        <w:t xml:space="preserve"> rejected and the suspect value is deemed to be an outlier.</w:t>
      </w:r>
    </w:p>
    <w:p w14:paraId="6F73643A" w14:textId="743851F2" w:rsidR="000F745E" w:rsidRDefault="000F745E" w:rsidP="000F745E">
      <w:r>
        <w:t>Calculation of Q statistic:</w:t>
      </w:r>
    </w:p>
    <w:p w14:paraId="2FACA31B" w14:textId="4D7C935C" w:rsidR="00A908AA" w:rsidRDefault="00682222" w:rsidP="000F745E">
      <m:oMathPara>
        <m:oMath>
          <m:sSub>
            <m:sSubPr>
              <m:ctrlPr>
                <w:rPr>
                  <w:rFonts w:ascii="Cambria Math" w:hAnsi="Cambria Math"/>
                  <w:i/>
                </w:rPr>
              </m:ctrlPr>
            </m:sSubPr>
            <m:e>
              <m:r>
                <w:rPr>
                  <w:rFonts w:ascii="Cambria Math" w:hAnsi="Cambria Math"/>
                </w:rPr>
                <m:t>Q</m:t>
              </m:r>
            </m:e>
            <m:sub>
              <m:r>
                <w:rPr>
                  <w:rFonts w:ascii="Cambria Math" w:hAnsi="Cambria Math"/>
                </w:rPr>
                <m:t>cal</m:t>
              </m:r>
            </m:sub>
          </m:sSub>
          <m:r>
            <w:rPr>
              <w:rFonts w:ascii="Cambria Math" w:hAnsi="Cambria Math"/>
            </w:rPr>
            <m:t>=</m:t>
          </m:r>
          <m:f>
            <m:fPr>
              <m:ctrlPr>
                <w:rPr>
                  <w:rFonts w:ascii="Cambria Math" w:hAnsi="Cambria Math"/>
                  <w:i/>
                </w:rPr>
              </m:ctrlPr>
            </m:fPr>
            <m:num>
              <m:d>
                <m:dPr>
                  <m:begChr m:val="|"/>
                  <m:endChr m:val="|"/>
                  <m:ctrlPr>
                    <w:rPr>
                      <w:rFonts w:ascii="Cambria Math" w:hAnsi="Cambria Math"/>
                      <w:i/>
                    </w:rPr>
                  </m:ctrlPr>
                </m:dPr>
                <m:e>
                  <m:r>
                    <w:rPr>
                      <w:rFonts w:ascii="Cambria Math" w:hAnsi="Cambria Math"/>
                    </w:rPr>
                    <m:t>suspect value-nearest value</m:t>
                  </m:r>
                </m:e>
              </m:d>
            </m:num>
            <m:den>
              <m:r>
                <w:rPr>
                  <w:rFonts w:ascii="Cambria Math" w:hAnsi="Cambria Math"/>
                </w:rPr>
                <m:t>largest value-smallest value</m:t>
              </m:r>
            </m:den>
          </m:f>
        </m:oMath>
      </m:oMathPara>
    </w:p>
    <w:p w14:paraId="78F6DCD0" w14:textId="77777777" w:rsidR="0093084A" w:rsidRDefault="0093084A" w:rsidP="004C36FA">
      <w:pPr>
        <w:rPr>
          <w:i/>
        </w:rPr>
      </w:pPr>
    </w:p>
    <w:p w14:paraId="3181FFDD" w14:textId="77777777" w:rsidR="004C36FA" w:rsidRPr="00767DFF" w:rsidRDefault="008418D3" w:rsidP="004C36FA">
      <w:pPr>
        <w:rPr>
          <w:i/>
        </w:rPr>
      </w:pPr>
      <w:r w:rsidRPr="00767DFF">
        <w:rPr>
          <w:i/>
        </w:rPr>
        <w:t>Usefulness of outlier tests for replicate analysis – the power of n</w:t>
      </w:r>
    </w:p>
    <w:p w14:paraId="63419521" w14:textId="77777777" w:rsidR="008418D3" w:rsidRDefault="000F745E" w:rsidP="004C36FA">
      <w:r>
        <w:lastRenderedPageBreak/>
        <w:t xml:space="preserve">The usefulness of the outlier tests in replicate analysis </w:t>
      </w:r>
      <w:proofErr w:type="gramStart"/>
      <w:r>
        <w:t>can be demonstrated</w:t>
      </w:r>
      <w:proofErr w:type="gramEnd"/>
      <w:r>
        <w:t xml:space="preserve"> using the following example.</w:t>
      </w:r>
    </w:p>
    <w:p w14:paraId="6602F6A4" w14:textId="77777777" w:rsidR="00767DFF" w:rsidRDefault="00767DFF" w:rsidP="004C36FA">
      <w:r>
        <w:t xml:space="preserve">The following values </w:t>
      </w:r>
      <w:proofErr w:type="gramStart"/>
      <w:r>
        <w:t>were obtained</w:t>
      </w:r>
      <w:proofErr w:type="gramEnd"/>
      <w:r>
        <w:t xml:space="preserve"> for the nitrite concentration (mg/L) in a sample of river water:</w:t>
      </w:r>
    </w:p>
    <w:p w14:paraId="1ABCE1C0" w14:textId="77777777" w:rsidR="00767DFF" w:rsidRDefault="00767DFF" w:rsidP="004C36FA">
      <w:r>
        <w:t>0.403, 0.410, 0.401, 0.38.</w:t>
      </w:r>
    </w:p>
    <w:p w14:paraId="5B2D3301" w14:textId="77777777" w:rsidR="00767DFF" w:rsidRDefault="00767DFF" w:rsidP="004C36FA">
      <w:r>
        <w:t xml:space="preserve">The last measurement is noticeably lower than the </w:t>
      </w:r>
      <w:proofErr w:type="gramStart"/>
      <w:r>
        <w:t>others</w:t>
      </w:r>
      <w:proofErr w:type="gramEnd"/>
      <w:r>
        <w:t xml:space="preserve"> and is suspected of being an outlier. </w:t>
      </w:r>
      <w:proofErr w:type="gramStart"/>
      <w:r>
        <w:t>Should it be rejected</w:t>
      </w:r>
      <w:proofErr w:type="gramEnd"/>
      <w:r>
        <w:t xml:space="preserve"> from the data set?</w:t>
      </w:r>
    </w:p>
    <w:p w14:paraId="700A864D" w14:textId="77777777" w:rsidR="00767DFF" w:rsidRDefault="00767DFF" w:rsidP="004C36FA">
      <w:r>
        <w:t xml:space="preserve">Both the Grubbs and the Q tests for outliers </w:t>
      </w:r>
      <w:proofErr w:type="gramStart"/>
      <w:r>
        <w:t>were applied</w:t>
      </w:r>
      <w:proofErr w:type="gramEnd"/>
      <w:r>
        <w:t xml:space="preserve"> to the data.</w:t>
      </w:r>
    </w:p>
    <w:tbl>
      <w:tblPr>
        <w:tblStyle w:val="GridTable1Light1"/>
        <w:tblW w:w="0" w:type="auto"/>
        <w:tblLook w:val="04A0" w:firstRow="1" w:lastRow="0" w:firstColumn="1" w:lastColumn="0" w:noHBand="0" w:noVBand="1"/>
      </w:tblPr>
      <w:tblGrid>
        <w:gridCol w:w="1129"/>
        <w:gridCol w:w="2835"/>
        <w:gridCol w:w="1445"/>
        <w:gridCol w:w="1803"/>
        <w:gridCol w:w="1804"/>
      </w:tblGrid>
      <w:tr w:rsidR="00767DFF" w14:paraId="21040915" w14:textId="77777777" w:rsidTr="00767D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5ECF291D" w14:textId="77777777" w:rsidR="00767DFF" w:rsidRDefault="00767DFF" w:rsidP="004C36FA">
            <w:r>
              <w:t>Test</w:t>
            </w:r>
          </w:p>
        </w:tc>
        <w:tc>
          <w:tcPr>
            <w:tcW w:w="2835" w:type="dxa"/>
          </w:tcPr>
          <w:p w14:paraId="4C69222A" w14:textId="77777777" w:rsidR="00767DFF" w:rsidRDefault="00767DFF" w:rsidP="004C36FA">
            <w:pPr>
              <w:cnfStyle w:val="100000000000" w:firstRow="1" w:lastRow="0" w:firstColumn="0" w:lastColumn="0" w:oddVBand="0" w:evenVBand="0" w:oddHBand="0" w:evenHBand="0" w:firstRowFirstColumn="0" w:firstRowLastColumn="0" w:lastRowFirstColumn="0" w:lastRowLastColumn="0"/>
            </w:pPr>
            <w:r>
              <w:t>Calculation</w:t>
            </w:r>
          </w:p>
        </w:tc>
        <w:tc>
          <w:tcPr>
            <w:tcW w:w="1445" w:type="dxa"/>
          </w:tcPr>
          <w:p w14:paraId="78507CEC" w14:textId="4FB3DF90" w:rsidR="00767DFF" w:rsidRPr="00767DFF" w:rsidRDefault="00A908AA" w:rsidP="004C36FA">
            <w:pPr>
              <w:cnfStyle w:val="100000000000" w:firstRow="1" w:lastRow="0" w:firstColumn="0" w:lastColumn="0" w:oddVBand="0" w:evenVBand="0" w:oddHBand="0" w:evenHBand="0" w:firstRowFirstColumn="0" w:firstRowLastColumn="0" w:lastRowFirstColumn="0" w:lastRowLastColumn="0"/>
              <w:rPr>
                <w:vertAlign w:val="subscript"/>
              </w:rPr>
            </w:pPr>
            <w:r>
              <w:t>Test Statistic</w:t>
            </w:r>
          </w:p>
        </w:tc>
        <w:tc>
          <w:tcPr>
            <w:tcW w:w="1803" w:type="dxa"/>
          </w:tcPr>
          <w:p w14:paraId="42D55781" w14:textId="745A2841" w:rsidR="00767DFF" w:rsidRPr="00767DFF" w:rsidRDefault="00A908AA" w:rsidP="004C36FA">
            <w:pPr>
              <w:cnfStyle w:val="100000000000" w:firstRow="1" w:lastRow="0" w:firstColumn="0" w:lastColumn="0" w:oddVBand="0" w:evenVBand="0" w:oddHBand="0" w:evenHBand="0" w:firstRowFirstColumn="0" w:firstRowLastColumn="0" w:lastRowFirstColumn="0" w:lastRowLastColumn="0"/>
              <w:rPr>
                <w:vertAlign w:val="subscript"/>
              </w:rPr>
            </w:pPr>
            <w:r>
              <w:t>Critical Value</w:t>
            </w:r>
          </w:p>
        </w:tc>
        <w:tc>
          <w:tcPr>
            <w:tcW w:w="1804" w:type="dxa"/>
          </w:tcPr>
          <w:p w14:paraId="0D8ACDC0" w14:textId="77777777" w:rsidR="00767DFF" w:rsidRDefault="00767DFF" w:rsidP="004C36FA">
            <w:pPr>
              <w:cnfStyle w:val="100000000000" w:firstRow="1" w:lastRow="0" w:firstColumn="0" w:lastColumn="0" w:oddVBand="0" w:evenVBand="0" w:oddHBand="0" w:evenHBand="0" w:firstRowFirstColumn="0" w:firstRowLastColumn="0" w:lastRowFirstColumn="0" w:lastRowLastColumn="0"/>
            </w:pPr>
            <w:r>
              <w:t>Outlier?</w:t>
            </w:r>
          </w:p>
        </w:tc>
      </w:tr>
      <w:tr w:rsidR="00767DFF" w14:paraId="4DDFBF05" w14:textId="77777777" w:rsidTr="00767DFF">
        <w:tc>
          <w:tcPr>
            <w:cnfStyle w:val="001000000000" w:firstRow="0" w:lastRow="0" w:firstColumn="1" w:lastColumn="0" w:oddVBand="0" w:evenVBand="0" w:oddHBand="0" w:evenHBand="0" w:firstRowFirstColumn="0" w:firstRowLastColumn="0" w:lastRowFirstColumn="0" w:lastRowLastColumn="0"/>
            <w:tcW w:w="1129" w:type="dxa"/>
          </w:tcPr>
          <w:p w14:paraId="32DD254D" w14:textId="77777777" w:rsidR="00767DFF" w:rsidRDefault="00767DFF" w:rsidP="004C36FA">
            <w:r>
              <w:t>Grubbs</w:t>
            </w:r>
          </w:p>
        </w:tc>
        <w:tc>
          <w:tcPr>
            <w:tcW w:w="2835" w:type="dxa"/>
          </w:tcPr>
          <w:p w14:paraId="68ECB710" w14:textId="77777777" w:rsidR="00767DFF" w:rsidRDefault="00767DFF" w:rsidP="004C36FA">
            <w:pPr>
              <w:cnfStyle w:val="000000000000" w:firstRow="0" w:lastRow="0" w:firstColumn="0" w:lastColumn="0" w:oddVBand="0" w:evenVBand="0" w:oddHBand="0" w:evenHBand="0" w:firstRowFirstColumn="0" w:firstRowLastColumn="0" w:lastRowFirstColumn="0" w:lastRowLastColumn="0"/>
            </w:pPr>
            <w:r>
              <w:t>(0.380-0.399)/0.013</w:t>
            </w:r>
          </w:p>
        </w:tc>
        <w:tc>
          <w:tcPr>
            <w:tcW w:w="1445" w:type="dxa"/>
          </w:tcPr>
          <w:p w14:paraId="5C37D493" w14:textId="5BC2DE3E" w:rsidR="00767DFF" w:rsidRDefault="00767DFF" w:rsidP="004C36FA">
            <w:pPr>
              <w:cnfStyle w:val="000000000000" w:firstRow="0" w:lastRow="0" w:firstColumn="0" w:lastColumn="0" w:oddVBand="0" w:evenVBand="0" w:oddHBand="0" w:evenHBand="0" w:firstRowFirstColumn="0" w:firstRowLastColumn="0" w:lastRowFirstColumn="0" w:lastRowLastColumn="0"/>
            </w:pPr>
            <w:r>
              <w:t>1.46</w:t>
            </w:r>
            <w:r w:rsidR="00A908AA">
              <w:t xml:space="preserve"> (</w:t>
            </w:r>
            <w:proofErr w:type="spellStart"/>
            <w:r w:rsidR="00A908AA">
              <w:t>G</w:t>
            </w:r>
            <w:r w:rsidR="00A908AA">
              <w:rPr>
                <w:vertAlign w:val="subscript"/>
              </w:rPr>
              <w:t>cal</w:t>
            </w:r>
            <w:proofErr w:type="spellEnd"/>
            <w:r w:rsidR="00A908AA">
              <w:t>)</w:t>
            </w:r>
          </w:p>
        </w:tc>
        <w:tc>
          <w:tcPr>
            <w:tcW w:w="1803" w:type="dxa"/>
          </w:tcPr>
          <w:p w14:paraId="64E2FD97" w14:textId="54F3135F" w:rsidR="00767DFF" w:rsidRDefault="00767DFF" w:rsidP="004C36FA">
            <w:pPr>
              <w:cnfStyle w:val="000000000000" w:firstRow="0" w:lastRow="0" w:firstColumn="0" w:lastColumn="0" w:oddVBand="0" w:evenVBand="0" w:oddHBand="0" w:evenHBand="0" w:firstRowFirstColumn="0" w:firstRowLastColumn="0" w:lastRowFirstColumn="0" w:lastRowLastColumn="0"/>
            </w:pPr>
            <w:r>
              <w:t>1.481</w:t>
            </w:r>
            <w:r w:rsidR="00A908AA">
              <w:t xml:space="preserve"> (</w:t>
            </w:r>
            <w:proofErr w:type="spellStart"/>
            <w:r w:rsidR="00A908AA">
              <w:t>G</w:t>
            </w:r>
            <w:r w:rsidR="00A908AA">
              <w:rPr>
                <w:vertAlign w:val="subscript"/>
              </w:rPr>
              <w:t>crit</w:t>
            </w:r>
            <w:proofErr w:type="spellEnd"/>
            <w:r w:rsidR="00A908AA">
              <w:t>)</w:t>
            </w:r>
          </w:p>
        </w:tc>
        <w:tc>
          <w:tcPr>
            <w:tcW w:w="1804" w:type="dxa"/>
          </w:tcPr>
          <w:p w14:paraId="73278329" w14:textId="77777777" w:rsidR="00767DFF" w:rsidRDefault="00767DFF" w:rsidP="004C36FA">
            <w:pPr>
              <w:cnfStyle w:val="000000000000" w:firstRow="0" w:lastRow="0" w:firstColumn="0" w:lastColumn="0" w:oddVBand="0" w:evenVBand="0" w:oddHBand="0" w:evenHBand="0" w:firstRowFirstColumn="0" w:firstRowLastColumn="0" w:lastRowFirstColumn="0" w:lastRowLastColumn="0"/>
            </w:pPr>
            <w:r>
              <w:t>No</w:t>
            </w:r>
          </w:p>
        </w:tc>
      </w:tr>
      <w:tr w:rsidR="00767DFF" w14:paraId="05738287" w14:textId="77777777" w:rsidTr="00767DFF">
        <w:tc>
          <w:tcPr>
            <w:cnfStyle w:val="001000000000" w:firstRow="0" w:lastRow="0" w:firstColumn="1" w:lastColumn="0" w:oddVBand="0" w:evenVBand="0" w:oddHBand="0" w:evenHBand="0" w:firstRowFirstColumn="0" w:firstRowLastColumn="0" w:lastRowFirstColumn="0" w:lastRowLastColumn="0"/>
            <w:tcW w:w="1129" w:type="dxa"/>
          </w:tcPr>
          <w:p w14:paraId="1BAFF7DD" w14:textId="77777777" w:rsidR="00767DFF" w:rsidRDefault="00767DFF" w:rsidP="004C36FA">
            <w:r>
              <w:t>Q</w:t>
            </w:r>
          </w:p>
        </w:tc>
        <w:tc>
          <w:tcPr>
            <w:tcW w:w="2835" w:type="dxa"/>
          </w:tcPr>
          <w:p w14:paraId="48C492FB" w14:textId="77777777" w:rsidR="00767DFF" w:rsidRDefault="00767DFF" w:rsidP="004C36FA">
            <w:pPr>
              <w:cnfStyle w:val="000000000000" w:firstRow="0" w:lastRow="0" w:firstColumn="0" w:lastColumn="0" w:oddVBand="0" w:evenVBand="0" w:oddHBand="0" w:evenHBand="0" w:firstRowFirstColumn="0" w:firstRowLastColumn="0" w:lastRowFirstColumn="0" w:lastRowLastColumn="0"/>
            </w:pPr>
            <w:r>
              <w:t>(0.380-0.401)/(0.410-0.380)</w:t>
            </w:r>
          </w:p>
        </w:tc>
        <w:tc>
          <w:tcPr>
            <w:tcW w:w="1445" w:type="dxa"/>
          </w:tcPr>
          <w:p w14:paraId="38477BC7" w14:textId="04F83A1E" w:rsidR="00767DFF" w:rsidRDefault="00767DFF" w:rsidP="004C36FA">
            <w:pPr>
              <w:cnfStyle w:val="000000000000" w:firstRow="0" w:lastRow="0" w:firstColumn="0" w:lastColumn="0" w:oddVBand="0" w:evenVBand="0" w:oddHBand="0" w:evenHBand="0" w:firstRowFirstColumn="0" w:firstRowLastColumn="0" w:lastRowFirstColumn="0" w:lastRowLastColumn="0"/>
            </w:pPr>
            <w:r>
              <w:t>0.7</w:t>
            </w:r>
            <w:r w:rsidR="00A908AA">
              <w:t xml:space="preserve"> (</w:t>
            </w:r>
            <w:proofErr w:type="spellStart"/>
            <w:r w:rsidR="00A908AA">
              <w:t>Q</w:t>
            </w:r>
            <w:r w:rsidR="00A908AA">
              <w:rPr>
                <w:vertAlign w:val="subscript"/>
              </w:rPr>
              <w:t>cal</w:t>
            </w:r>
            <w:proofErr w:type="spellEnd"/>
            <w:r w:rsidR="00A908AA">
              <w:t>)</w:t>
            </w:r>
          </w:p>
        </w:tc>
        <w:tc>
          <w:tcPr>
            <w:tcW w:w="1803" w:type="dxa"/>
          </w:tcPr>
          <w:p w14:paraId="29645DE8" w14:textId="6FC1D1D3" w:rsidR="00767DFF" w:rsidRDefault="00767DFF" w:rsidP="004C36FA">
            <w:pPr>
              <w:cnfStyle w:val="000000000000" w:firstRow="0" w:lastRow="0" w:firstColumn="0" w:lastColumn="0" w:oddVBand="0" w:evenVBand="0" w:oddHBand="0" w:evenHBand="0" w:firstRowFirstColumn="0" w:firstRowLastColumn="0" w:lastRowFirstColumn="0" w:lastRowLastColumn="0"/>
            </w:pPr>
            <w:r>
              <w:t>0.829</w:t>
            </w:r>
            <w:r w:rsidR="00A908AA">
              <w:t xml:space="preserve"> (</w:t>
            </w:r>
            <w:proofErr w:type="spellStart"/>
            <w:r w:rsidR="00A908AA">
              <w:t>Q</w:t>
            </w:r>
            <w:r w:rsidR="00A908AA">
              <w:rPr>
                <w:vertAlign w:val="subscript"/>
              </w:rPr>
              <w:t>crit</w:t>
            </w:r>
            <w:proofErr w:type="spellEnd"/>
            <w:r w:rsidR="00A908AA">
              <w:t>)</w:t>
            </w:r>
          </w:p>
        </w:tc>
        <w:tc>
          <w:tcPr>
            <w:tcW w:w="1804" w:type="dxa"/>
          </w:tcPr>
          <w:p w14:paraId="0A73543E" w14:textId="77777777" w:rsidR="00767DFF" w:rsidRDefault="00767DFF" w:rsidP="004C36FA">
            <w:pPr>
              <w:cnfStyle w:val="000000000000" w:firstRow="0" w:lastRow="0" w:firstColumn="0" w:lastColumn="0" w:oddVBand="0" w:evenVBand="0" w:oddHBand="0" w:evenHBand="0" w:firstRowFirstColumn="0" w:firstRowLastColumn="0" w:lastRowFirstColumn="0" w:lastRowLastColumn="0"/>
            </w:pPr>
            <w:r>
              <w:t>No</w:t>
            </w:r>
          </w:p>
        </w:tc>
      </w:tr>
    </w:tbl>
    <w:p w14:paraId="3B632AC4" w14:textId="77777777" w:rsidR="00767DFF" w:rsidRDefault="00767DFF" w:rsidP="004C36FA"/>
    <w:p w14:paraId="666C841B" w14:textId="76174834" w:rsidR="00780F78" w:rsidRDefault="00780F78" w:rsidP="004C36FA">
      <w:r>
        <w:t>The result of both outlier tests agree – the</w:t>
      </w:r>
      <w:r w:rsidR="00A908AA">
        <w:t>re is no evidence to suggest that the</w:t>
      </w:r>
      <w:r>
        <w:t xml:space="preserve"> suspect data point </w:t>
      </w:r>
      <w:r w:rsidR="00A908AA">
        <w:t>can be</w:t>
      </w:r>
      <w:r>
        <w:t xml:space="preserve"> designated as an outlier and</w:t>
      </w:r>
      <w:r w:rsidR="0093084A">
        <w:t xml:space="preserve"> </w:t>
      </w:r>
      <w:r w:rsidR="00A908AA">
        <w:t xml:space="preserve">therefore its </w:t>
      </w:r>
      <w:r w:rsidR="0093084A">
        <w:t>remov</w:t>
      </w:r>
      <w:r w:rsidR="00202B9E">
        <w:t>al</w:t>
      </w:r>
      <w:r w:rsidR="0093084A">
        <w:t xml:space="preserve"> from the data</w:t>
      </w:r>
      <w:r>
        <w:t>set</w:t>
      </w:r>
      <w:r w:rsidR="00A908AA">
        <w:t xml:space="preserve"> cannot be justified</w:t>
      </w:r>
      <w:r>
        <w:t>.</w:t>
      </w:r>
    </w:p>
    <w:p w14:paraId="6C14F704" w14:textId="77777777" w:rsidR="00780F78" w:rsidRDefault="00E16015" w:rsidP="004C36FA">
      <w:r>
        <w:t xml:space="preserve">Three further measurements </w:t>
      </w:r>
      <w:proofErr w:type="gramStart"/>
      <w:r>
        <w:t>were made</w:t>
      </w:r>
      <w:proofErr w:type="gramEnd"/>
      <w:r>
        <w:t xml:space="preserve"> so that the complete dataset (n=7) is:</w:t>
      </w:r>
    </w:p>
    <w:p w14:paraId="7B555447" w14:textId="77777777" w:rsidR="00E16015" w:rsidRDefault="00E16015" w:rsidP="004C36FA">
      <w:r>
        <w:t>0.403, 0.410, 0.401, 0.380, 0.405, 0.413, 0.408.</w:t>
      </w:r>
    </w:p>
    <w:p w14:paraId="138F2381" w14:textId="2AE576BD" w:rsidR="00E16015" w:rsidRDefault="00E16015" w:rsidP="004C36FA">
      <w:r>
        <w:t>Again</w:t>
      </w:r>
      <w:r w:rsidR="0093084A">
        <w:t>,</w:t>
      </w:r>
      <w:r>
        <w:t xml:space="preserve"> both the Grubbs </w:t>
      </w:r>
      <w:r w:rsidR="00A908AA">
        <w:t xml:space="preserve">test </w:t>
      </w:r>
      <w:r>
        <w:t xml:space="preserve">and the Q-test </w:t>
      </w:r>
      <w:proofErr w:type="gramStart"/>
      <w:r>
        <w:t>were used</w:t>
      </w:r>
      <w:proofErr w:type="gramEnd"/>
      <w:r>
        <w:t xml:space="preserve"> to determine if 0.380 is an outlier.</w:t>
      </w:r>
    </w:p>
    <w:tbl>
      <w:tblPr>
        <w:tblStyle w:val="GridTable1Light1"/>
        <w:tblW w:w="0" w:type="auto"/>
        <w:tblLook w:val="04A0" w:firstRow="1" w:lastRow="0" w:firstColumn="1" w:lastColumn="0" w:noHBand="0" w:noVBand="1"/>
      </w:tblPr>
      <w:tblGrid>
        <w:gridCol w:w="1129"/>
        <w:gridCol w:w="2835"/>
        <w:gridCol w:w="1445"/>
        <w:gridCol w:w="1803"/>
        <w:gridCol w:w="1804"/>
      </w:tblGrid>
      <w:tr w:rsidR="00E16015" w14:paraId="56E9FA31" w14:textId="77777777" w:rsidTr="00240F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7551BB24" w14:textId="77777777" w:rsidR="00E16015" w:rsidRDefault="00E16015" w:rsidP="00240F7D">
            <w:r>
              <w:t>Test</w:t>
            </w:r>
          </w:p>
        </w:tc>
        <w:tc>
          <w:tcPr>
            <w:tcW w:w="2835" w:type="dxa"/>
          </w:tcPr>
          <w:p w14:paraId="5B854585" w14:textId="77777777" w:rsidR="00E16015" w:rsidRDefault="00E16015" w:rsidP="00240F7D">
            <w:pPr>
              <w:cnfStyle w:val="100000000000" w:firstRow="1" w:lastRow="0" w:firstColumn="0" w:lastColumn="0" w:oddVBand="0" w:evenVBand="0" w:oddHBand="0" w:evenHBand="0" w:firstRowFirstColumn="0" w:firstRowLastColumn="0" w:lastRowFirstColumn="0" w:lastRowLastColumn="0"/>
            </w:pPr>
            <w:r>
              <w:t>Calculation</w:t>
            </w:r>
          </w:p>
        </w:tc>
        <w:tc>
          <w:tcPr>
            <w:tcW w:w="1445" w:type="dxa"/>
          </w:tcPr>
          <w:p w14:paraId="22C8D975" w14:textId="6C1AFE38" w:rsidR="00E16015" w:rsidRPr="00767DFF" w:rsidRDefault="00A908AA" w:rsidP="00240F7D">
            <w:pPr>
              <w:cnfStyle w:val="100000000000" w:firstRow="1" w:lastRow="0" w:firstColumn="0" w:lastColumn="0" w:oddVBand="0" w:evenVBand="0" w:oddHBand="0" w:evenHBand="0" w:firstRowFirstColumn="0" w:firstRowLastColumn="0" w:lastRowFirstColumn="0" w:lastRowLastColumn="0"/>
              <w:rPr>
                <w:vertAlign w:val="subscript"/>
              </w:rPr>
            </w:pPr>
            <w:r>
              <w:t>Test Statistic</w:t>
            </w:r>
          </w:p>
        </w:tc>
        <w:tc>
          <w:tcPr>
            <w:tcW w:w="1803" w:type="dxa"/>
          </w:tcPr>
          <w:p w14:paraId="0E4B24B0" w14:textId="65A37E1D" w:rsidR="00E16015" w:rsidRPr="00767DFF" w:rsidRDefault="00A908AA" w:rsidP="00240F7D">
            <w:pPr>
              <w:cnfStyle w:val="100000000000" w:firstRow="1" w:lastRow="0" w:firstColumn="0" w:lastColumn="0" w:oddVBand="0" w:evenVBand="0" w:oddHBand="0" w:evenHBand="0" w:firstRowFirstColumn="0" w:firstRowLastColumn="0" w:lastRowFirstColumn="0" w:lastRowLastColumn="0"/>
              <w:rPr>
                <w:vertAlign w:val="subscript"/>
              </w:rPr>
            </w:pPr>
            <w:r>
              <w:t>Critical Value</w:t>
            </w:r>
          </w:p>
        </w:tc>
        <w:tc>
          <w:tcPr>
            <w:tcW w:w="1804" w:type="dxa"/>
          </w:tcPr>
          <w:p w14:paraId="73CB3CD7" w14:textId="77777777" w:rsidR="00E16015" w:rsidRDefault="00E16015" w:rsidP="00240F7D">
            <w:pPr>
              <w:cnfStyle w:val="100000000000" w:firstRow="1" w:lastRow="0" w:firstColumn="0" w:lastColumn="0" w:oddVBand="0" w:evenVBand="0" w:oddHBand="0" w:evenHBand="0" w:firstRowFirstColumn="0" w:firstRowLastColumn="0" w:lastRowFirstColumn="0" w:lastRowLastColumn="0"/>
            </w:pPr>
            <w:r>
              <w:t>Outlier?</w:t>
            </w:r>
          </w:p>
        </w:tc>
      </w:tr>
      <w:tr w:rsidR="00E16015" w14:paraId="038DB901" w14:textId="77777777" w:rsidTr="00240F7D">
        <w:tc>
          <w:tcPr>
            <w:cnfStyle w:val="001000000000" w:firstRow="0" w:lastRow="0" w:firstColumn="1" w:lastColumn="0" w:oddVBand="0" w:evenVBand="0" w:oddHBand="0" w:evenHBand="0" w:firstRowFirstColumn="0" w:firstRowLastColumn="0" w:lastRowFirstColumn="0" w:lastRowLastColumn="0"/>
            <w:tcW w:w="1129" w:type="dxa"/>
          </w:tcPr>
          <w:p w14:paraId="69300DD4" w14:textId="77777777" w:rsidR="00E16015" w:rsidRDefault="00E16015" w:rsidP="00240F7D">
            <w:r>
              <w:t>Grubbs</w:t>
            </w:r>
          </w:p>
        </w:tc>
        <w:tc>
          <w:tcPr>
            <w:tcW w:w="2835" w:type="dxa"/>
          </w:tcPr>
          <w:p w14:paraId="738F6AA9" w14:textId="77777777" w:rsidR="00E16015" w:rsidRDefault="00E16015" w:rsidP="00240F7D">
            <w:pPr>
              <w:cnfStyle w:val="000000000000" w:firstRow="0" w:lastRow="0" w:firstColumn="0" w:lastColumn="0" w:oddVBand="0" w:evenVBand="0" w:oddHBand="0" w:evenHBand="0" w:firstRowFirstColumn="0" w:firstRowLastColumn="0" w:lastRowFirstColumn="0" w:lastRowLastColumn="0"/>
            </w:pPr>
            <w:r>
              <w:t>(0.380-0.403)/0.011</w:t>
            </w:r>
          </w:p>
        </w:tc>
        <w:tc>
          <w:tcPr>
            <w:tcW w:w="1445" w:type="dxa"/>
          </w:tcPr>
          <w:p w14:paraId="5FFBBDC5" w14:textId="0FDCB04F" w:rsidR="00E16015" w:rsidRDefault="00E16015" w:rsidP="00240F7D">
            <w:pPr>
              <w:cnfStyle w:val="000000000000" w:firstRow="0" w:lastRow="0" w:firstColumn="0" w:lastColumn="0" w:oddVBand="0" w:evenVBand="0" w:oddHBand="0" w:evenHBand="0" w:firstRowFirstColumn="0" w:firstRowLastColumn="0" w:lastRowFirstColumn="0" w:lastRowLastColumn="0"/>
            </w:pPr>
            <w:r>
              <w:t>2.09</w:t>
            </w:r>
            <w:r w:rsidR="00A908AA">
              <w:t xml:space="preserve"> (</w:t>
            </w:r>
            <w:proofErr w:type="spellStart"/>
            <w:r w:rsidR="00A908AA">
              <w:t>G</w:t>
            </w:r>
            <w:r w:rsidR="00A908AA">
              <w:rPr>
                <w:vertAlign w:val="subscript"/>
              </w:rPr>
              <w:t>cal</w:t>
            </w:r>
            <w:proofErr w:type="spellEnd"/>
            <w:r w:rsidR="00A908AA">
              <w:t>)</w:t>
            </w:r>
          </w:p>
        </w:tc>
        <w:tc>
          <w:tcPr>
            <w:tcW w:w="1803" w:type="dxa"/>
          </w:tcPr>
          <w:p w14:paraId="57AC0974" w14:textId="7A245D3C" w:rsidR="00E16015" w:rsidRDefault="00E16015" w:rsidP="00240F7D">
            <w:pPr>
              <w:cnfStyle w:val="000000000000" w:firstRow="0" w:lastRow="0" w:firstColumn="0" w:lastColumn="0" w:oddVBand="0" w:evenVBand="0" w:oddHBand="0" w:evenHBand="0" w:firstRowFirstColumn="0" w:firstRowLastColumn="0" w:lastRowFirstColumn="0" w:lastRowLastColumn="0"/>
            </w:pPr>
            <w:r>
              <w:t>2.02</w:t>
            </w:r>
            <w:r w:rsidR="00A908AA">
              <w:t xml:space="preserve"> (</w:t>
            </w:r>
            <w:proofErr w:type="spellStart"/>
            <w:r w:rsidR="00A908AA">
              <w:t>G</w:t>
            </w:r>
            <w:r w:rsidR="00A908AA">
              <w:rPr>
                <w:vertAlign w:val="subscript"/>
              </w:rPr>
              <w:t>crit</w:t>
            </w:r>
            <w:proofErr w:type="spellEnd"/>
            <w:r w:rsidR="00A908AA">
              <w:t>)</w:t>
            </w:r>
          </w:p>
        </w:tc>
        <w:tc>
          <w:tcPr>
            <w:tcW w:w="1804" w:type="dxa"/>
          </w:tcPr>
          <w:p w14:paraId="7DF38DA4" w14:textId="77777777" w:rsidR="00E16015" w:rsidRDefault="00E16015" w:rsidP="00240F7D">
            <w:pPr>
              <w:cnfStyle w:val="000000000000" w:firstRow="0" w:lastRow="0" w:firstColumn="0" w:lastColumn="0" w:oddVBand="0" w:evenVBand="0" w:oddHBand="0" w:evenHBand="0" w:firstRowFirstColumn="0" w:firstRowLastColumn="0" w:lastRowFirstColumn="0" w:lastRowLastColumn="0"/>
            </w:pPr>
            <w:r>
              <w:t>Yes</w:t>
            </w:r>
          </w:p>
        </w:tc>
      </w:tr>
      <w:tr w:rsidR="00E16015" w14:paraId="608F4263" w14:textId="77777777" w:rsidTr="00240F7D">
        <w:tc>
          <w:tcPr>
            <w:cnfStyle w:val="001000000000" w:firstRow="0" w:lastRow="0" w:firstColumn="1" w:lastColumn="0" w:oddVBand="0" w:evenVBand="0" w:oddHBand="0" w:evenHBand="0" w:firstRowFirstColumn="0" w:firstRowLastColumn="0" w:lastRowFirstColumn="0" w:lastRowLastColumn="0"/>
            <w:tcW w:w="1129" w:type="dxa"/>
          </w:tcPr>
          <w:p w14:paraId="6EFF088B" w14:textId="77777777" w:rsidR="00E16015" w:rsidRDefault="00E16015" w:rsidP="00240F7D">
            <w:r>
              <w:t>Q</w:t>
            </w:r>
          </w:p>
        </w:tc>
        <w:tc>
          <w:tcPr>
            <w:tcW w:w="2835" w:type="dxa"/>
          </w:tcPr>
          <w:p w14:paraId="48F7AAA4" w14:textId="77777777" w:rsidR="00E16015" w:rsidRDefault="00E16015" w:rsidP="00240F7D">
            <w:pPr>
              <w:cnfStyle w:val="000000000000" w:firstRow="0" w:lastRow="0" w:firstColumn="0" w:lastColumn="0" w:oddVBand="0" w:evenVBand="0" w:oddHBand="0" w:evenHBand="0" w:firstRowFirstColumn="0" w:firstRowLastColumn="0" w:lastRowFirstColumn="0" w:lastRowLastColumn="0"/>
            </w:pPr>
            <w:r>
              <w:t>(0.380-0.401)/(0.413-0.380)</w:t>
            </w:r>
          </w:p>
        </w:tc>
        <w:tc>
          <w:tcPr>
            <w:tcW w:w="1445" w:type="dxa"/>
          </w:tcPr>
          <w:p w14:paraId="605A3004" w14:textId="3DBE0C51" w:rsidR="00E16015" w:rsidRDefault="009F51B7" w:rsidP="00240F7D">
            <w:pPr>
              <w:cnfStyle w:val="000000000000" w:firstRow="0" w:lastRow="0" w:firstColumn="0" w:lastColumn="0" w:oddVBand="0" w:evenVBand="0" w:oddHBand="0" w:evenHBand="0" w:firstRowFirstColumn="0" w:firstRowLastColumn="0" w:lastRowFirstColumn="0" w:lastRowLastColumn="0"/>
            </w:pPr>
            <w:r>
              <w:t>0.636</w:t>
            </w:r>
            <w:r w:rsidR="00A908AA">
              <w:t xml:space="preserve"> (</w:t>
            </w:r>
            <w:proofErr w:type="spellStart"/>
            <w:r w:rsidR="00A908AA">
              <w:t>Q</w:t>
            </w:r>
            <w:r w:rsidR="00A908AA">
              <w:rPr>
                <w:vertAlign w:val="subscript"/>
              </w:rPr>
              <w:t>cal</w:t>
            </w:r>
            <w:proofErr w:type="spellEnd"/>
            <w:r w:rsidR="00A908AA">
              <w:t>)</w:t>
            </w:r>
          </w:p>
        </w:tc>
        <w:tc>
          <w:tcPr>
            <w:tcW w:w="1803" w:type="dxa"/>
          </w:tcPr>
          <w:p w14:paraId="7EF0EC81" w14:textId="3287EC73" w:rsidR="00E16015" w:rsidRDefault="009F51B7" w:rsidP="00240F7D">
            <w:pPr>
              <w:cnfStyle w:val="000000000000" w:firstRow="0" w:lastRow="0" w:firstColumn="0" w:lastColumn="0" w:oddVBand="0" w:evenVBand="0" w:oddHBand="0" w:evenHBand="0" w:firstRowFirstColumn="0" w:firstRowLastColumn="0" w:lastRowFirstColumn="0" w:lastRowLastColumn="0"/>
            </w:pPr>
            <w:r>
              <w:t>0.568</w:t>
            </w:r>
            <w:r w:rsidR="00A908AA">
              <w:t xml:space="preserve"> (</w:t>
            </w:r>
            <w:proofErr w:type="spellStart"/>
            <w:r w:rsidR="00A908AA">
              <w:t>Q</w:t>
            </w:r>
            <w:r w:rsidR="00A908AA">
              <w:rPr>
                <w:vertAlign w:val="subscript"/>
              </w:rPr>
              <w:t>crit</w:t>
            </w:r>
            <w:proofErr w:type="spellEnd"/>
            <w:r w:rsidR="00A908AA">
              <w:t>)</w:t>
            </w:r>
          </w:p>
        </w:tc>
        <w:tc>
          <w:tcPr>
            <w:tcW w:w="1804" w:type="dxa"/>
          </w:tcPr>
          <w:p w14:paraId="7BAE1602" w14:textId="77777777" w:rsidR="00E16015" w:rsidRDefault="009F51B7" w:rsidP="00240F7D">
            <w:pPr>
              <w:cnfStyle w:val="000000000000" w:firstRow="0" w:lastRow="0" w:firstColumn="0" w:lastColumn="0" w:oddVBand="0" w:evenVBand="0" w:oddHBand="0" w:evenHBand="0" w:firstRowFirstColumn="0" w:firstRowLastColumn="0" w:lastRowFirstColumn="0" w:lastRowLastColumn="0"/>
            </w:pPr>
            <w:r>
              <w:t>Yes</w:t>
            </w:r>
          </w:p>
        </w:tc>
      </w:tr>
    </w:tbl>
    <w:p w14:paraId="72F2ACF3" w14:textId="77777777" w:rsidR="00E16015" w:rsidRDefault="00E16015" w:rsidP="004C36FA"/>
    <w:p w14:paraId="62E1D013" w14:textId="10922042" w:rsidR="009F51B7" w:rsidRDefault="009F51B7" w:rsidP="00202B9E">
      <w:pPr>
        <w:jc w:val="both"/>
      </w:pPr>
      <w:r>
        <w:t xml:space="preserve">This time, there was sufficient </w:t>
      </w:r>
      <w:r w:rsidR="00A908AA">
        <w:t xml:space="preserve">evidence </w:t>
      </w:r>
      <w:r>
        <w:t xml:space="preserve">to </w:t>
      </w:r>
      <w:r w:rsidR="00A908AA">
        <w:t xml:space="preserve">classify </w:t>
      </w:r>
      <w:r>
        <w:t xml:space="preserve">0.380 </w:t>
      </w:r>
      <w:r w:rsidR="00A908AA">
        <w:t xml:space="preserve">as </w:t>
      </w:r>
      <w:r>
        <w:t xml:space="preserve">an outlier and </w:t>
      </w:r>
      <w:r w:rsidR="00A908AA">
        <w:t xml:space="preserve">therefore warrant its </w:t>
      </w:r>
      <w:r>
        <w:t>remov</w:t>
      </w:r>
      <w:r w:rsidR="00A908AA">
        <w:t>al</w:t>
      </w:r>
      <w:r>
        <w:t xml:space="preserve"> from the dataset.</w:t>
      </w:r>
    </w:p>
    <w:p w14:paraId="07313757" w14:textId="77777777" w:rsidR="00682222" w:rsidRDefault="009F51B7" w:rsidP="00682222">
      <w:r>
        <w:t xml:space="preserve">This highlights that the ability of outlier tests to </w:t>
      </w:r>
      <w:r w:rsidR="00A908AA">
        <w:t xml:space="preserve">classify </w:t>
      </w:r>
      <w:proofErr w:type="gramStart"/>
      <w:r>
        <w:t>outliers</w:t>
      </w:r>
      <w:proofErr w:type="gramEnd"/>
      <w:r>
        <w:t xml:space="preserve"> increases as the number of data points in the </w:t>
      </w:r>
      <w:r w:rsidR="00A908AA">
        <w:t xml:space="preserve">replicate </w:t>
      </w:r>
      <w:r>
        <w:t xml:space="preserve">dataset increases. However, as </w:t>
      </w:r>
      <w:r w:rsidR="00A908AA">
        <w:t xml:space="preserve">n </w:t>
      </w:r>
      <w:r>
        <w:t xml:space="preserve">increases, the impact that a single outlier </w:t>
      </w:r>
      <w:r w:rsidR="00A908AA">
        <w:t xml:space="preserve">will have </w:t>
      </w:r>
      <w:r>
        <w:t xml:space="preserve">on the mean </w:t>
      </w:r>
      <w:r w:rsidR="00A908AA">
        <w:t xml:space="preserve">value </w:t>
      </w:r>
      <w:r>
        <w:t xml:space="preserve">decreases. Therefore, as datasets from replicate analysis tend to be quite small, the usefulness of outlier tests may be limited. In addition, the presence of more than one outlier </w:t>
      </w:r>
      <w:r w:rsidR="00A908AA">
        <w:t xml:space="preserve">can result in masking effects. Handling multiple outliers is possible but </w:t>
      </w:r>
      <w:r>
        <w:t xml:space="preserve">increases complexity </w:t>
      </w:r>
      <w:r w:rsidR="00A908AA">
        <w:t>of analysis</w:t>
      </w:r>
      <w:r>
        <w:t>.</w:t>
      </w:r>
      <w:r w:rsidR="00682222">
        <w:t xml:space="preserve"> </w:t>
      </w:r>
      <w:r w:rsidR="00682222">
        <w:t xml:space="preserve">For the Grubbs test, the minimum sample size advised is </w:t>
      </w:r>
      <w:proofErr w:type="gramStart"/>
      <w:r w:rsidR="00682222">
        <w:t>7</w:t>
      </w:r>
      <w:proofErr w:type="gramEnd"/>
      <w:r w:rsidR="00682222">
        <w:t xml:space="preserve">. While the Q test </w:t>
      </w:r>
      <w:proofErr w:type="gramStart"/>
      <w:r w:rsidR="00682222">
        <w:t>is recommended</w:t>
      </w:r>
      <w:proofErr w:type="gramEnd"/>
      <w:r w:rsidR="00682222">
        <w:t xml:space="preserve"> for smaller sample sizes, the tests are increasingly reliable with higher sample sizes.</w:t>
      </w:r>
    </w:p>
    <w:p w14:paraId="79A3BA0F" w14:textId="77777777" w:rsidR="00A908AA" w:rsidRDefault="00A908AA" w:rsidP="00202B9E">
      <w:pPr>
        <w:jc w:val="both"/>
      </w:pPr>
      <w:bookmarkStart w:id="0" w:name="_GoBack"/>
      <w:bookmarkEnd w:id="0"/>
    </w:p>
    <w:p w14:paraId="50E2A524" w14:textId="77777777" w:rsidR="009F51B7" w:rsidRPr="003D7F2C" w:rsidRDefault="009F51B7" w:rsidP="00202B9E">
      <w:pPr>
        <w:jc w:val="both"/>
        <w:rPr>
          <w:b/>
        </w:rPr>
      </w:pPr>
      <w:r w:rsidRPr="003D7F2C">
        <w:rPr>
          <w:b/>
        </w:rPr>
        <w:t>Conclusion</w:t>
      </w:r>
    </w:p>
    <w:p w14:paraId="21E62761" w14:textId="3AE2EEA8" w:rsidR="009F51B7" w:rsidRDefault="009F51B7" w:rsidP="00202B9E">
      <w:pPr>
        <w:jc w:val="both"/>
      </w:pPr>
      <w:r>
        <w:t xml:space="preserve">Laboratories carrying out analytical testing should have a documented procedure for replicate analysis. The procedure should record how many replicates </w:t>
      </w:r>
      <w:proofErr w:type="gramStart"/>
      <w:r>
        <w:t>are carried out</w:t>
      </w:r>
      <w:proofErr w:type="gramEnd"/>
      <w:r>
        <w:t xml:space="preserve"> for initial analysis of a test sample and</w:t>
      </w:r>
      <w:r w:rsidR="003D7F2C">
        <w:t xml:space="preserve"> how many are carried out for</w:t>
      </w:r>
      <w:r>
        <w:t xml:space="preserve"> repeat analysis. This </w:t>
      </w:r>
      <w:proofErr w:type="gramStart"/>
      <w:r>
        <w:t>should be based</w:t>
      </w:r>
      <w:proofErr w:type="gramEnd"/>
      <w:r>
        <w:t xml:space="preserve"> on legislation, sectoral guidelines, what the test method is to be used for and the needs of the customer. If replicate analysis </w:t>
      </w:r>
      <w:proofErr w:type="gramStart"/>
      <w:r>
        <w:t>is carried out,</w:t>
      </w:r>
      <w:proofErr w:type="gramEnd"/>
      <w:r>
        <w:t xml:space="preserve"> the procedure should include acceptance criteria for </w:t>
      </w:r>
      <w:r w:rsidR="0028576D">
        <w:t>the replicates</w:t>
      </w:r>
      <w:r>
        <w:t>. The p</w:t>
      </w:r>
      <w:r w:rsidR="003D7F2C">
        <w:t xml:space="preserve">rocedure should also document the steps carried out if replicate analysis fails </w:t>
      </w:r>
      <w:r w:rsidR="0028576D">
        <w:t xml:space="preserve">to meet </w:t>
      </w:r>
      <w:r w:rsidR="003D7F2C">
        <w:t xml:space="preserve">acceptance criteria. When </w:t>
      </w:r>
      <w:r w:rsidR="003D7F2C">
        <w:lastRenderedPageBreak/>
        <w:t xml:space="preserve">determining what </w:t>
      </w:r>
      <w:proofErr w:type="gramStart"/>
      <w:r w:rsidR="003D7F2C">
        <w:t>should be reported</w:t>
      </w:r>
      <w:proofErr w:type="gramEnd"/>
      <w:r w:rsidR="003D7F2C">
        <w:t xml:space="preserve"> to the customer, outlier tests can be a useful tool. They </w:t>
      </w:r>
      <w:proofErr w:type="gramStart"/>
      <w:r w:rsidR="003D7F2C">
        <w:t>must be treated</w:t>
      </w:r>
      <w:proofErr w:type="gramEnd"/>
      <w:r w:rsidR="003D7F2C">
        <w:t xml:space="preserve"> with caution as they assume a normal distribution, are less powerful with a small dataset and can be impacted by the presence of more than one outlier. The procedure for replicate analysis should document if a test report </w:t>
      </w:r>
      <w:proofErr w:type="gramStart"/>
      <w:r w:rsidR="003D7F2C">
        <w:t>will be issued</w:t>
      </w:r>
      <w:proofErr w:type="gramEnd"/>
      <w:r w:rsidR="003D7F2C">
        <w:t xml:space="preserve"> to the customer when </w:t>
      </w:r>
      <w:r w:rsidR="0028576D">
        <w:t>replicate analysis fails to meet acceptance criteria</w:t>
      </w:r>
      <w:r w:rsidR="0028576D" w:rsidDel="0028576D">
        <w:t xml:space="preserve"> </w:t>
      </w:r>
      <w:r w:rsidR="003D7F2C">
        <w:t>and, if a test report is issued, how the result will be reported.</w:t>
      </w:r>
    </w:p>
    <w:p w14:paraId="15816ACA" w14:textId="77777777" w:rsidR="00E16015" w:rsidRDefault="00E16015" w:rsidP="00202B9E">
      <w:pPr>
        <w:jc w:val="both"/>
      </w:pPr>
    </w:p>
    <w:p w14:paraId="20EA83DA" w14:textId="77777777" w:rsidR="00E16015" w:rsidRPr="000509DC" w:rsidRDefault="003D7F2C" w:rsidP="004C36FA">
      <w:pPr>
        <w:rPr>
          <w:b/>
        </w:rPr>
      </w:pPr>
      <w:r w:rsidRPr="000509DC">
        <w:rPr>
          <w:b/>
        </w:rPr>
        <w:t>References and further reading</w:t>
      </w:r>
    </w:p>
    <w:p w14:paraId="5FD10C13" w14:textId="77777777" w:rsidR="00E16015" w:rsidRDefault="00E16015" w:rsidP="004C36FA"/>
    <w:tbl>
      <w:tblPr>
        <w:tblStyle w:val="TableGrid"/>
        <w:tblW w:w="0" w:type="auto"/>
        <w:tblLayout w:type="fixed"/>
        <w:tblLook w:val="04A0" w:firstRow="1" w:lastRow="0" w:firstColumn="1" w:lastColumn="0" w:noHBand="0" w:noVBand="1"/>
      </w:tblPr>
      <w:tblGrid>
        <w:gridCol w:w="534"/>
        <w:gridCol w:w="8708"/>
      </w:tblGrid>
      <w:tr w:rsidR="00262933" w14:paraId="5C161496" w14:textId="77777777" w:rsidTr="00202B9E">
        <w:tc>
          <w:tcPr>
            <w:tcW w:w="534" w:type="dxa"/>
          </w:tcPr>
          <w:p w14:paraId="71C9127C" w14:textId="77777777" w:rsidR="00262933" w:rsidRDefault="00262933">
            <w:r>
              <w:t>1</w:t>
            </w:r>
          </w:p>
        </w:tc>
        <w:tc>
          <w:tcPr>
            <w:tcW w:w="8708" w:type="dxa"/>
          </w:tcPr>
          <w:p w14:paraId="49D71A3B" w14:textId="77777777" w:rsidR="00262933" w:rsidRDefault="00262933">
            <w:r w:rsidRPr="00262933">
              <w:t>B. Magnusson and U. Örnemark (eds.) Eurachem Guide: The Fitness for Purpose of Analytical Methods – A Laboratory Guide to Method Validation and Related Topics, (2nd ed. 2014). ISBN 978-91-87461-59-0. Available from http://www.eurachem.org</w:t>
            </w:r>
          </w:p>
        </w:tc>
      </w:tr>
      <w:tr w:rsidR="00262933" w14:paraId="426F343A" w14:textId="77777777" w:rsidTr="00202B9E">
        <w:tc>
          <w:tcPr>
            <w:tcW w:w="534" w:type="dxa"/>
          </w:tcPr>
          <w:p w14:paraId="56209F73" w14:textId="77777777" w:rsidR="00262933" w:rsidRDefault="00262933">
            <w:r>
              <w:t>2</w:t>
            </w:r>
          </w:p>
        </w:tc>
        <w:tc>
          <w:tcPr>
            <w:tcW w:w="8708" w:type="dxa"/>
          </w:tcPr>
          <w:p w14:paraId="3C91DA44" w14:textId="77777777" w:rsidR="00262933" w:rsidRPr="00262933" w:rsidRDefault="00262933">
            <w:r w:rsidRPr="00262933">
              <w:t>V. Barwick (ed.), Planning and Reporting Method Validation Studies – Supplement to Eurachem Guide on the Fitness for Purpose of Analytical Methods (2019). Available from http://www.eurachem.org</w:t>
            </w:r>
          </w:p>
        </w:tc>
      </w:tr>
      <w:tr w:rsidR="00262933" w14:paraId="06203BD0" w14:textId="77777777" w:rsidTr="00202B9E">
        <w:tc>
          <w:tcPr>
            <w:tcW w:w="534" w:type="dxa"/>
          </w:tcPr>
          <w:p w14:paraId="3F336086" w14:textId="77777777" w:rsidR="00262933" w:rsidRDefault="00262933">
            <w:r>
              <w:t>3</w:t>
            </w:r>
          </w:p>
        </w:tc>
        <w:tc>
          <w:tcPr>
            <w:tcW w:w="8708" w:type="dxa"/>
          </w:tcPr>
          <w:p w14:paraId="310ACB26" w14:textId="20C8191E" w:rsidR="00262933" w:rsidRDefault="00262933">
            <w:r w:rsidRPr="00262933">
              <w:t>V.  Barwick  (Ed),  Eurachem/CITAC  Guide:  Guide  to  Quality  in Analytical  Chemistry:  An  Aid  to  Accreditation  (3rd  ed.  2016)</w:t>
            </w:r>
            <w:proofErr w:type="gramStart"/>
            <w:r w:rsidRPr="00262933">
              <w:t>.  ISBN</w:t>
            </w:r>
            <w:proofErr w:type="gramEnd"/>
            <w:r w:rsidRPr="00262933">
              <w:t xml:space="preserve">  978-0-948926-32-7.  </w:t>
            </w:r>
            <w:proofErr w:type="gramStart"/>
            <w:r w:rsidRPr="00262933">
              <w:t>Available  from</w:t>
            </w:r>
            <w:proofErr w:type="gramEnd"/>
            <w:r w:rsidRPr="00262933">
              <w:t xml:space="preserve"> www.eurachem.org.</w:t>
            </w:r>
          </w:p>
        </w:tc>
      </w:tr>
      <w:tr w:rsidR="00262933" w14:paraId="641890AC" w14:textId="77777777" w:rsidTr="00202B9E">
        <w:tc>
          <w:tcPr>
            <w:tcW w:w="534" w:type="dxa"/>
          </w:tcPr>
          <w:p w14:paraId="1DA34739" w14:textId="77777777" w:rsidR="00262933" w:rsidRDefault="00262933">
            <w:r>
              <w:t>4</w:t>
            </w:r>
          </w:p>
        </w:tc>
        <w:tc>
          <w:tcPr>
            <w:tcW w:w="8708" w:type="dxa"/>
          </w:tcPr>
          <w:p w14:paraId="1BF01313" w14:textId="5AA41658" w:rsidR="00262933" w:rsidRDefault="00262933">
            <w:r w:rsidRPr="00262933">
              <w:t>S L R Ellison and A Williams (</w:t>
            </w:r>
            <w:proofErr w:type="spellStart"/>
            <w:r w:rsidRPr="00262933">
              <w:t>Eds</w:t>
            </w:r>
            <w:proofErr w:type="spellEnd"/>
            <w:r w:rsidRPr="00262933">
              <w:t>). Eurachem/CITAC guide: Quantifying Uncertainty in Analytical Measurement, Third edition, (2012) ISBN 978-0-948926-30-3. Available from www.eurachem.org</w:t>
            </w:r>
          </w:p>
        </w:tc>
      </w:tr>
      <w:tr w:rsidR="00262933" w14:paraId="134CC3C8" w14:textId="77777777" w:rsidTr="00202B9E">
        <w:tc>
          <w:tcPr>
            <w:tcW w:w="534" w:type="dxa"/>
          </w:tcPr>
          <w:p w14:paraId="1D730F59" w14:textId="77777777" w:rsidR="00262933" w:rsidRDefault="00262933">
            <w:r>
              <w:t>5</w:t>
            </w:r>
          </w:p>
        </w:tc>
        <w:tc>
          <w:tcPr>
            <w:tcW w:w="8708" w:type="dxa"/>
          </w:tcPr>
          <w:p w14:paraId="62207C48" w14:textId="77777777" w:rsidR="00262933" w:rsidRDefault="00262933">
            <w:r w:rsidRPr="00262933">
              <w:t>A. Williams and B. Magnusson (eds.) Eurachem/CITAC Guide: Use of uncertainty information in compliance assessment (</w:t>
            </w:r>
            <w:proofErr w:type="gramStart"/>
            <w:r w:rsidRPr="00262933">
              <w:t>2nd  ed</w:t>
            </w:r>
            <w:proofErr w:type="gramEnd"/>
            <w:r w:rsidRPr="00262933">
              <w:t>. 2021).  ISBN 978-0-948926-38-9. Available from www.eurachem.org.</w:t>
            </w:r>
          </w:p>
        </w:tc>
      </w:tr>
      <w:tr w:rsidR="00262933" w14:paraId="0A0B991E" w14:textId="77777777" w:rsidTr="00202B9E">
        <w:tc>
          <w:tcPr>
            <w:tcW w:w="534" w:type="dxa"/>
          </w:tcPr>
          <w:p w14:paraId="02FF792C" w14:textId="77777777" w:rsidR="00262933" w:rsidRDefault="004C36FA">
            <w:r>
              <w:t>6</w:t>
            </w:r>
          </w:p>
        </w:tc>
        <w:tc>
          <w:tcPr>
            <w:tcW w:w="8708" w:type="dxa"/>
          </w:tcPr>
          <w:p w14:paraId="1DD8323A" w14:textId="77777777" w:rsidR="00262933" w:rsidRDefault="004C36FA">
            <w:r>
              <w:t>Barnett, V. and Lewis, T., 1984, Outliers in Statistical Data, 2</w:t>
            </w:r>
            <w:r w:rsidRPr="004C36FA">
              <w:rPr>
                <w:vertAlign w:val="superscript"/>
              </w:rPr>
              <w:t>nd</w:t>
            </w:r>
            <w:r>
              <w:t xml:space="preserve"> </w:t>
            </w:r>
            <w:proofErr w:type="spellStart"/>
            <w:r>
              <w:t>edn</w:t>
            </w:r>
            <w:proofErr w:type="spellEnd"/>
            <w:r>
              <w:t>, John Wiley &amp; Sons Limited.</w:t>
            </w:r>
          </w:p>
        </w:tc>
      </w:tr>
      <w:tr w:rsidR="00262933" w14:paraId="2CA18D6F" w14:textId="77777777" w:rsidTr="00202B9E">
        <w:tc>
          <w:tcPr>
            <w:tcW w:w="534" w:type="dxa"/>
          </w:tcPr>
          <w:p w14:paraId="79FDC74C" w14:textId="77777777" w:rsidR="00262933" w:rsidRDefault="000509DC">
            <w:r>
              <w:t>7</w:t>
            </w:r>
          </w:p>
        </w:tc>
        <w:tc>
          <w:tcPr>
            <w:tcW w:w="8708" w:type="dxa"/>
          </w:tcPr>
          <w:p w14:paraId="17D39FAE" w14:textId="77777777" w:rsidR="00262933" w:rsidRDefault="000509DC">
            <w:r>
              <w:t>Evaluation and reporting of results, OMCL Network of the Council of Europe, 2014.</w:t>
            </w:r>
          </w:p>
        </w:tc>
      </w:tr>
      <w:tr w:rsidR="00262933" w14:paraId="49DE162D" w14:textId="77777777" w:rsidTr="00202B9E">
        <w:tc>
          <w:tcPr>
            <w:tcW w:w="534" w:type="dxa"/>
          </w:tcPr>
          <w:p w14:paraId="4CBBB025" w14:textId="77777777" w:rsidR="00262933" w:rsidRDefault="000509DC">
            <w:r>
              <w:t>8</w:t>
            </w:r>
          </w:p>
        </w:tc>
        <w:tc>
          <w:tcPr>
            <w:tcW w:w="8708" w:type="dxa"/>
          </w:tcPr>
          <w:p w14:paraId="57614698" w14:textId="77777777" w:rsidR="00262933" w:rsidRDefault="000509DC">
            <w:r>
              <w:t xml:space="preserve">Statistics for the Quality Control Chemistry Laboratory, E. Mullins </w:t>
            </w:r>
            <w:r w:rsidRPr="000509DC">
              <w:t>RS.C (ISBN 0-85404-671-2)</w:t>
            </w:r>
          </w:p>
        </w:tc>
      </w:tr>
      <w:tr w:rsidR="00262933" w14:paraId="19F60229" w14:textId="77777777" w:rsidTr="00202B9E">
        <w:tc>
          <w:tcPr>
            <w:tcW w:w="534" w:type="dxa"/>
          </w:tcPr>
          <w:p w14:paraId="680597D5" w14:textId="77777777" w:rsidR="00262933" w:rsidRDefault="003C6546">
            <w:r>
              <w:t>9</w:t>
            </w:r>
          </w:p>
        </w:tc>
        <w:tc>
          <w:tcPr>
            <w:tcW w:w="8708" w:type="dxa"/>
          </w:tcPr>
          <w:p w14:paraId="399EBE44" w14:textId="77777777" w:rsidR="00262933" w:rsidRDefault="003C6546">
            <w:proofErr w:type="spellStart"/>
            <w:r>
              <w:t>Nordtest</w:t>
            </w:r>
            <w:proofErr w:type="spellEnd"/>
            <w:r>
              <w:t xml:space="preserve"> Report TR 569 (</w:t>
            </w:r>
            <w:proofErr w:type="spellStart"/>
            <w:r>
              <w:t>ed</w:t>
            </w:r>
            <w:proofErr w:type="spellEnd"/>
            <w:r>
              <w:t xml:space="preserve"> 5.1) Internal Quality Control</w:t>
            </w:r>
          </w:p>
        </w:tc>
      </w:tr>
      <w:tr w:rsidR="003C6546" w14:paraId="423CFF62" w14:textId="77777777" w:rsidTr="00202B9E">
        <w:tc>
          <w:tcPr>
            <w:tcW w:w="534" w:type="dxa"/>
          </w:tcPr>
          <w:p w14:paraId="0DBD8F00" w14:textId="77777777" w:rsidR="003C6546" w:rsidRDefault="003C6546">
            <w:r>
              <w:t>10</w:t>
            </w:r>
          </w:p>
        </w:tc>
        <w:tc>
          <w:tcPr>
            <w:tcW w:w="8708" w:type="dxa"/>
          </w:tcPr>
          <w:p w14:paraId="3C23BE01" w14:textId="77777777" w:rsidR="003C6546" w:rsidRDefault="003C6546">
            <w:r w:rsidRPr="003C6546">
              <w:t>SOFT/AAFS Forensic Toxicology Lab Guidelines</w:t>
            </w:r>
          </w:p>
        </w:tc>
      </w:tr>
      <w:tr w:rsidR="00724DCE" w14:paraId="602D8E9B" w14:textId="77777777" w:rsidTr="00202B9E">
        <w:tc>
          <w:tcPr>
            <w:tcW w:w="534" w:type="dxa"/>
          </w:tcPr>
          <w:p w14:paraId="391E3655" w14:textId="77777777" w:rsidR="00724DCE" w:rsidRDefault="00724DCE">
            <w:r>
              <w:t>11</w:t>
            </w:r>
          </w:p>
        </w:tc>
        <w:tc>
          <w:tcPr>
            <w:tcW w:w="8708" w:type="dxa"/>
          </w:tcPr>
          <w:p w14:paraId="57172BA7" w14:textId="77777777" w:rsidR="00724DCE" w:rsidRDefault="00724DCE" w:rsidP="00724DCE">
            <w:r>
              <w:t>Guidelines produced by The European Directorate for the Quality of Medicines and HealthCare (EDQM). They are set up to deal with samples which are out-of-specification:</w:t>
            </w:r>
          </w:p>
          <w:p w14:paraId="2EF2782A" w14:textId="77777777" w:rsidR="00724DCE" w:rsidRDefault="00724DCE" w:rsidP="00724DCE"/>
          <w:p w14:paraId="26F8BC93" w14:textId="77777777" w:rsidR="00724DCE" w:rsidRDefault="00682222" w:rsidP="00724DCE">
            <w:hyperlink r:id="rId7" w:history="1">
              <w:r w:rsidR="00724DCE">
                <w:rPr>
                  <w:rStyle w:val="Hyperlink"/>
                </w:rPr>
                <w:t>https://www.edqm.eu/sites/default/files/medias/fichiers/OMCL_Network/Find_information_on/Quality_Management_Documents/omcl_evaluation_and_reporting_of_results_-_core_document.pdf</w:t>
              </w:r>
            </w:hyperlink>
          </w:p>
          <w:p w14:paraId="2F671AA9" w14:textId="77777777" w:rsidR="00724DCE" w:rsidRDefault="00724DCE" w:rsidP="00724DCE"/>
          <w:p w14:paraId="21769545" w14:textId="77777777" w:rsidR="00724DCE" w:rsidRDefault="00724DCE" w:rsidP="00724DCE">
            <w:r>
              <w:t>One of the annexes deals with reporting for quantitative tests:</w:t>
            </w:r>
          </w:p>
          <w:p w14:paraId="5D4943AB" w14:textId="77777777" w:rsidR="00724DCE" w:rsidRDefault="00724DCE" w:rsidP="00724DCE">
            <w:pPr>
              <w:rPr>
                <w:color w:val="1F497D"/>
              </w:rPr>
            </w:pPr>
          </w:p>
          <w:p w14:paraId="5EB5DB86" w14:textId="77777777" w:rsidR="00724DCE" w:rsidRDefault="00682222" w:rsidP="00724DCE">
            <w:pPr>
              <w:rPr>
                <w:color w:val="1F497D"/>
              </w:rPr>
            </w:pPr>
            <w:hyperlink r:id="rId8" w:history="1">
              <w:r w:rsidR="00724DCE">
                <w:rPr>
                  <w:rStyle w:val="Hyperlink"/>
                </w:rPr>
                <w:t>https://www.edqm.eu/sites/default/files/medias/fichiers/OMCL_Network/Find_information_on/Quality_Management_Documents/omcl_evaluation_reporting_of_results_annex_2a_re_test_programmes_for_qualitative_tests.pdf</w:t>
              </w:r>
            </w:hyperlink>
          </w:p>
          <w:p w14:paraId="01B38CCF" w14:textId="77777777" w:rsidR="00724DCE" w:rsidRPr="003C6546" w:rsidRDefault="00724DCE"/>
        </w:tc>
      </w:tr>
    </w:tbl>
    <w:p w14:paraId="4EC4ACFF" w14:textId="77777777" w:rsidR="00262933" w:rsidRDefault="00262933"/>
    <w:sectPr w:rsidR="00262933">
      <w:headerReference w:type="default" r:id="rId9"/>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C90E830" w16cid:durableId="250ED5B1"/>
  <w16cid:commentId w16cid:paraId="2E281E9A" w16cid:durableId="250ED5B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25B577" w14:textId="77777777" w:rsidR="006A3319" w:rsidRDefault="006A3319" w:rsidP="00A34FAE">
      <w:pPr>
        <w:spacing w:after="0" w:line="240" w:lineRule="auto"/>
      </w:pPr>
      <w:r>
        <w:separator/>
      </w:r>
    </w:p>
  </w:endnote>
  <w:endnote w:type="continuationSeparator" w:id="0">
    <w:p w14:paraId="7689F94F" w14:textId="77777777" w:rsidR="006A3319" w:rsidRDefault="006A3319" w:rsidP="00A34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FEE411" w14:textId="77777777" w:rsidR="006A3319" w:rsidRDefault="006A3319" w:rsidP="00A34FAE">
      <w:pPr>
        <w:spacing w:after="0" w:line="240" w:lineRule="auto"/>
      </w:pPr>
      <w:r>
        <w:separator/>
      </w:r>
    </w:p>
  </w:footnote>
  <w:footnote w:type="continuationSeparator" w:id="0">
    <w:p w14:paraId="2E54771B" w14:textId="77777777" w:rsidR="006A3319" w:rsidRDefault="006A3319" w:rsidP="00A34F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06CA4" w14:textId="77777777" w:rsidR="00384B6B" w:rsidRDefault="00384B6B">
    <w:pPr>
      <w:pStyle w:val="Header"/>
      <w:rPr>
        <w:i/>
      </w:rPr>
    </w:pPr>
  </w:p>
  <w:p w14:paraId="5134A392" w14:textId="49B0751A" w:rsidR="00A34FAE" w:rsidRDefault="0030556B">
    <w:pPr>
      <w:pStyle w:val="Header"/>
    </w:pPr>
    <w:r w:rsidRPr="0030556B">
      <w:rPr>
        <w:i/>
      </w:rPr>
      <w:t>Replicate analysis</w:t>
    </w:r>
    <w:r w:rsidR="00A34FAE" w:rsidRPr="0030556B">
      <w:rPr>
        <w:i/>
      </w:rPr>
      <w:ptab w:relativeTo="margin" w:alignment="center" w:leader="none"/>
    </w:r>
    <w:r w:rsidR="00A34FAE">
      <w:rPr>
        <w:noProof/>
        <w:lang w:eastAsia="en-IE"/>
      </w:rPr>
      <w:drawing>
        <wp:inline distT="0" distB="0" distL="0" distR="0" wp14:anchorId="3680B2F3" wp14:editId="025DED25">
          <wp:extent cx="2371725" cy="6737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rachem Ireland Logo.png"/>
                  <pic:cNvPicPr/>
                </pic:nvPicPr>
                <pic:blipFill>
                  <a:blip r:embed="rId1">
                    <a:extLst>
                      <a:ext uri="{28A0092B-C50C-407E-A947-70E740481C1C}">
                        <a14:useLocalDpi xmlns:a14="http://schemas.microsoft.com/office/drawing/2010/main" val="0"/>
                      </a:ext>
                    </a:extLst>
                  </a:blip>
                  <a:stretch>
                    <a:fillRect/>
                  </a:stretch>
                </pic:blipFill>
                <pic:spPr>
                  <a:xfrm>
                    <a:off x="0" y="0"/>
                    <a:ext cx="2556220" cy="726140"/>
                  </a:xfrm>
                  <a:prstGeom prst="rect">
                    <a:avLst/>
                  </a:prstGeom>
                </pic:spPr>
              </pic:pic>
            </a:graphicData>
          </a:graphic>
        </wp:inline>
      </w:drawing>
    </w:r>
    <w:r w:rsidR="00A34FAE">
      <w:ptab w:relativeTo="margin" w:alignment="right" w:leader="none"/>
    </w:r>
    <w:r w:rsidR="005B2C67">
      <w:fldChar w:fldCharType="begin"/>
    </w:r>
    <w:r w:rsidR="005B2C67">
      <w:instrText xml:space="preserve"> PAGE   \* MERGEFORMAT </w:instrText>
    </w:r>
    <w:r w:rsidR="005B2C67">
      <w:fldChar w:fldCharType="separate"/>
    </w:r>
    <w:r w:rsidR="00682222">
      <w:rPr>
        <w:noProof/>
      </w:rPr>
      <w:t>6</w:t>
    </w:r>
    <w:r w:rsidR="005B2C67">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F0CCA"/>
    <w:multiLevelType w:val="hybridMultilevel"/>
    <w:tmpl w:val="9EDAAD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3473D22"/>
    <w:multiLevelType w:val="hybridMultilevel"/>
    <w:tmpl w:val="9146AE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EBF37CA"/>
    <w:multiLevelType w:val="hybridMultilevel"/>
    <w:tmpl w:val="195053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1DC307B"/>
    <w:multiLevelType w:val="hybridMultilevel"/>
    <w:tmpl w:val="240E6F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82730F9"/>
    <w:multiLevelType w:val="hybridMultilevel"/>
    <w:tmpl w:val="0EEA92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9335A8C"/>
    <w:multiLevelType w:val="hybridMultilevel"/>
    <w:tmpl w:val="FAE4A2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63E93253"/>
    <w:multiLevelType w:val="hybridMultilevel"/>
    <w:tmpl w:val="9154C0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1"/>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932"/>
    <w:rsid w:val="00002F1C"/>
    <w:rsid w:val="000366AE"/>
    <w:rsid w:val="000509DC"/>
    <w:rsid w:val="00084549"/>
    <w:rsid w:val="000F4B26"/>
    <w:rsid w:val="000F745E"/>
    <w:rsid w:val="001516B5"/>
    <w:rsid w:val="001E11E3"/>
    <w:rsid w:val="00202B9E"/>
    <w:rsid w:val="002309CD"/>
    <w:rsid w:val="00262933"/>
    <w:rsid w:val="0028576D"/>
    <w:rsid w:val="00286FBC"/>
    <w:rsid w:val="002A3F0B"/>
    <w:rsid w:val="00304F34"/>
    <w:rsid w:val="0030556B"/>
    <w:rsid w:val="00361B97"/>
    <w:rsid w:val="00384B6B"/>
    <w:rsid w:val="003B07D8"/>
    <w:rsid w:val="003C6546"/>
    <w:rsid w:val="003D7F2C"/>
    <w:rsid w:val="003F1886"/>
    <w:rsid w:val="0041741C"/>
    <w:rsid w:val="00463644"/>
    <w:rsid w:val="004B08A3"/>
    <w:rsid w:val="004B5865"/>
    <w:rsid w:val="004C36FA"/>
    <w:rsid w:val="004E1032"/>
    <w:rsid w:val="00502EE7"/>
    <w:rsid w:val="005816B9"/>
    <w:rsid w:val="005A1311"/>
    <w:rsid w:val="005B2C67"/>
    <w:rsid w:val="00620649"/>
    <w:rsid w:val="00667B2A"/>
    <w:rsid w:val="00682222"/>
    <w:rsid w:val="006A3319"/>
    <w:rsid w:val="006A3578"/>
    <w:rsid w:val="006E0F4E"/>
    <w:rsid w:val="006F026A"/>
    <w:rsid w:val="00724DCE"/>
    <w:rsid w:val="00767DFF"/>
    <w:rsid w:val="00780F78"/>
    <w:rsid w:val="007C5CCF"/>
    <w:rsid w:val="007E6A8F"/>
    <w:rsid w:val="00820E50"/>
    <w:rsid w:val="00832616"/>
    <w:rsid w:val="008418D3"/>
    <w:rsid w:val="008A0AC9"/>
    <w:rsid w:val="008B3FED"/>
    <w:rsid w:val="008C2337"/>
    <w:rsid w:val="0092342E"/>
    <w:rsid w:val="0093084A"/>
    <w:rsid w:val="009F51B7"/>
    <w:rsid w:val="00A34FAE"/>
    <w:rsid w:val="00A67504"/>
    <w:rsid w:val="00A908AA"/>
    <w:rsid w:val="00AC5E7C"/>
    <w:rsid w:val="00AE661B"/>
    <w:rsid w:val="00B00104"/>
    <w:rsid w:val="00B555B8"/>
    <w:rsid w:val="00BA1566"/>
    <w:rsid w:val="00BB6222"/>
    <w:rsid w:val="00C17894"/>
    <w:rsid w:val="00C44B23"/>
    <w:rsid w:val="00C86932"/>
    <w:rsid w:val="00CB6D78"/>
    <w:rsid w:val="00D165E8"/>
    <w:rsid w:val="00D23DE3"/>
    <w:rsid w:val="00D33420"/>
    <w:rsid w:val="00DA118C"/>
    <w:rsid w:val="00DB0C65"/>
    <w:rsid w:val="00DC4C2C"/>
    <w:rsid w:val="00E16015"/>
    <w:rsid w:val="00E346A6"/>
    <w:rsid w:val="00E34B55"/>
    <w:rsid w:val="00ED48FA"/>
    <w:rsid w:val="00EF1748"/>
    <w:rsid w:val="00F00454"/>
    <w:rsid w:val="00F0345B"/>
    <w:rsid w:val="00F04274"/>
    <w:rsid w:val="00F51BA4"/>
    <w:rsid w:val="00F807FD"/>
    <w:rsid w:val="00F93B65"/>
    <w:rsid w:val="00FC322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F2F47DB"/>
  <w15:docId w15:val="{C2D1E417-0FB8-1B41-B9C5-A0535121C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F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4FAE"/>
  </w:style>
  <w:style w:type="paragraph" w:styleId="Footer">
    <w:name w:val="footer"/>
    <w:basedOn w:val="Normal"/>
    <w:link w:val="FooterChar"/>
    <w:uiPriority w:val="99"/>
    <w:unhideWhenUsed/>
    <w:rsid w:val="00A34F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4FAE"/>
  </w:style>
  <w:style w:type="table" w:styleId="TableGrid">
    <w:name w:val="Table Grid"/>
    <w:basedOn w:val="TableNormal"/>
    <w:uiPriority w:val="39"/>
    <w:rsid w:val="00262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2EE7"/>
    <w:pPr>
      <w:ind w:left="720"/>
      <w:contextualSpacing/>
    </w:pPr>
  </w:style>
  <w:style w:type="table" w:customStyle="1" w:styleId="TableGridLight1">
    <w:name w:val="Table Grid Light1"/>
    <w:basedOn w:val="TableNormal"/>
    <w:uiPriority w:val="40"/>
    <w:rsid w:val="00767DF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1">
    <w:name w:val="Grid Table 1 Light1"/>
    <w:basedOn w:val="TableNormal"/>
    <w:uiPriority w:val="46"/>
    <w:rsid w:val="00767DF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C44B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B23"/>
    <w:rPr>
      <w:rFonts w:ascii="Tahoma" w:hAnsi="Tahoma" w:cs="Tahoma"/>
      <w:sz w:val="16"/>
      <w:szCs w:val="16"/>
    </w:rPr>
  </w:style>
  <w:style w:type="character" w:styleId="Hyperlink">
    <w:name w:val="Hyperlink"/>
    <w:basedOn w:val="DefaultParagraphFont"/>
    <w:uiPriority w:val="99"/>
    <w:semiHidden/>
    <w:unhideWhenUsed/>
    <w:rsid w:val="00724DCE"/>
    <w:rPr>
      <w:color w:val="0000FF"/>
      <w:u w:val="single"/>
    </w:rPr>
  </w:style>
  <w:style w:type="character" w:styleId="CommentReference">
    <w:name w:val="annotation reference"/>
    <w:basedOn w:val="DefaultParagraphFont"/>
    <w:uiPriority w:val="99"/>
    <w:semiHidden/>
    <w:unhideWhenUsed/>
    <w:rsid w:val="006F026A"/>
    <w:rPr>
      <w:sz w:val="16"/>
      <w:szCs w:val="16"/>
    </w:rPr>
  </w:style>
  <w:style w:type="paragraph" w:styleId="CommentText">
    <w:name w:val="annotation text"/>
    <w:basedOn w:val="Normal"/>
    <w:link w:val="CommentTextChar"/>
    <w:uiPriority w:val="99"/>
    <w:semiHidden/>
    <w:unhideWhenUsed/>
    <w:rsid w:val="006F026A"/>
    <w:pPr>
      <w:spacing w:line="240" w:lineRule="auto"/>
    </w:pPr>
    <w:rPr>
      <w:sz w:val="20"/>
      <w:szCs w:val="20"/>
    </w:rPr>
  </w:style>
  <w:style w:type="character" w:customStyle="1" w:styleId="CommentTextChar">
    <w:name w:val="Comment Text Char"/>
    <w:basedOn w:val="DefaultParagraphFont"/>
    <w:link w:val="CommentText"/>
    <w:uiPriority w:val="99"/>
    <w:semiHidden/>
    <w:rsid w:val="006F026A"/>
    <w:rPr>
      <w:sz w:val="20"/>
      <w:szCs w:val="20"/>
    </w:rPr>
  </w:style>
  <w:style w:type="paragraph" w:styleId="CommentSubject">
    <w:name w:val="annotation subject"/>
    <w:basedOn w:val="CommentText"/>
    <w:next w:val="CommentText"/>
    <w:link w:val="CommentSubjectChar"/>
    <w:uiPriority w:val="99"/>
    <w:semiHidden/>
    <w:unhideWhenUsed/>
    <w:rsid w:val="006F026A"/>
    <w:rPr>
      <w:b/>
      <w:bCs/>
    </w:rPr>
  </w:style>
  <w:style w:type="character" w:customStyle="1" w:styleId="CommentSubjectChar">
    <w:name w:val="Comment Subject Char"/>
    <w:basedOn w:val="CommentTextChar"/>
    <w:link w:val="CommentSubject"/>
    <w:uiPriority w:val="99"/>
    <w:semiHidden/>
    <w:rsid w:val="006F026A"/>
    <w:rPr>
      <w:b/>
      <w:bCs/>
      <w:sz w:val="20"/>
      <w:szCs w:val="20"/>
    </w:rPr>
  </w:style>
  <w:style w:type="paragraph" w:styleId="Revision">
    <w:name w:val="Revision"/>
    <w:hidden/>
    <w:uiPriority w:val="99"/>
    <w:semiHidden/>
    <w:rsid w:val="00A908AA"/>
    <w:pPr>
      <w:spacing w:after="0" w:line="240" w:lineRule="auto"/>
    </w:pPr>
  </w:style>
  <w:style w:type="character" w:styleId="PlaceholderText">
    <w:name w:val="Placeholder Text"/>
    <w:basedOn w:val="DefaultParagraphFont"/>
    <w:uiPriority w:val="99"/>
    <w:semiHidden/>
    <w:rsid w:val="00A908A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431846">
      <w:bodyDiv w:val="1"/>
      <w:marLeft w:val="0"/>
      <w:marRight w:val="0"/>
      <w:marTop w:val="0"/>
      <w:marBottom w:val="0"/>
      <w:divBdr>
        <w:top w:val="none" w:sz="0" w:space="0" w:color="auto"/>
        <w:left w:val="none" w:sz="0" w:space="0" w:color="auto"/>
        <w:bottom w:val="none" w:sz="0" w:space="0" w:color="auto"/>
        <w:right w:val="none" w:sz="0" w:space="0" w:color="auto"/>
      </w:divBdr>
    </w:div>
    <w:div w:id="376778023">
      <w:bodyDiv w:val="1"/>
      <w:marLeft w:val="0"/>
      <w:marRight w:val="0"/>
      <w:marTop w:val="0"/>
      <w:marBottom w:val="0"/>
      <w:divBdr>
        <w:top w:val="none" w:sz="0" w:space="0" w:color="auto"/>
        <w:left w:val="none" w:sz="0" w:space="0" w:color="auto"/>
        <w:bottom w:val="none" w:sz="0" w:space="0" w:color="auto"/>
        <w:right w:val="none" w:sz="0" w:space="0" w:color="auto"/>
      </w:divBdr>
    </w:div>
    <w:div w:id="398551953">
      <w:bodyDiv w:val="1"/>
      <w:marLeft w:val="0"/>
      <w:marRight w:val="0"/>
      <w:marTop w:val="0"/>
      <w:marBottom w:val="0"/>
      <w:divBdr>
        <w:top w:val="none" w:sz="0" w:space="0" w:color="auto"/>
        <w:left w:val="none" w:sz="0" w:space="0" w:color="auto"/>
        <w:bottom w:val="none" w:sz="0" w:space="0" w:color="auto"/>
        <w:right w:val="none" w:sz="0" w:space="0" w:color="auto"/>
      </w:divBdr>
    </w:div>
    <w:div w:id="478494502">
      <w:bodyDiv w:val="1"/>
      <w:marLeft w:val="0"/>
      <w:marRight w:val="0"/>
      <w:marTop w:val="0"/>
      <w:marBottom w:val="0"/>
      <w:divBdr>
        <w:top w:val="none" w:sz="0" w:space="0" w:color="auto"/>
        <w:left w:val="none" w:sz="0" w:space="0" w:color="auto"/>
        <w:bottom w:val="none" w:sz="0" w:space="0" w:color="auto"/>
        <w:right w:val="none" w:sz="0" w:space="0" w:color="auto"/>
      </w:divBdr>
    </w:div>
    <w:div w:id="869293412">
      <w:bodyDiv w:val="1"/>
      <w:marLeft w:val="0"/>
      <w:marRight w:val="0"/>
      <w:marTop w:val="0"/>
      <w:marBottom w:val="0"/>
      <w:divBdr>
        <w:top w:val="none" w:sz="0" w:space="0" w:color="auto"/>
        <w:left w:val="none" w:sz="0" w:space="0" w:color="auto"/>
        <w:bottom w:val="none" w:sz="0" w:space="0" w:color="auto"/>
        <w:right w:val="none" w:sz="0" w:space="0" w:color="auto"/>
      </w:divBdr>
    </w:div>
    <w:div w:id="1490557114">
      <w:bodyDiv w:val="1"/>
      <w:marLeft w:val="0"/>
      <w:marRight w:val="0"/>
      <w:marTop w:val="0"/>
      <w:marBottom w:val="0"/>
      <w:divBdr>
        <w:top w:val="none" w:sz="0" w:space="0" w:color="auto"/>
        <w:left w:val="none" w:sz="0" w:space="0" w:color="auto"/>
        <w:bottom w:val="none" w:sz="0" w:space="0" w:color="auto"/>
        <w:right w:val="none" w:sz="0" w:space="0" w:color="auto"/>
      </w:divBdr>
    </w:div>
    <w:div w:id="153087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anner.topsec.com/?r=show&amp;u=https%3A%2F%2Fwww.edqm.eu%2Fsites%2Fdefault%2Ffiles%2Fmedias%2Ffichiers%2FOMCL_Network%2FFind_information_on%2FQuality_Management_Documents%2Fomcl_evaluation_reporting_of_results_annex_2a_re_test_programmes_for_qualitative_tests.pdf&amp;d=2120&amp;t=6bdbfde0914502bd90e5b4613690cf17ce9415a2" TargetMode="External"/><Relationship Id="rId3" Type="http://schemas.openxmlformats.org/officeDocument/2006/relationships/settings" Target="settings.xml"/><Relationship Id="rId7" Type="http://schemas.openxmlformats.org/officeDocument/2006/relationships/hyperlink" Target="https://scanner.topsec.com/?r=show&amp;u=https%3A%2F%2Fwww.edqm.eu%2Fsites%2Fdefault%2Ffiles%2Fmedias%2Ffichiers%2FOMCL_Network%2FFind_information_on%2FQuality_Management_Documents%2Fomcl_evaluation_and_reporting_of_results_-_core_document.pdf&amp;d=2120&amp;t=4344ac775fa9c853f5d9c56003213f12e90455c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2407</Words>
  <Characters>13723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16098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Cantwell</dc:creator>
  <cp:lastModifiedBy>Helen Cantwell</cp:lastModifiedBy>
  <cp:revision>5</cp:revision>
  <dcterms:created xsi:type="dcterms:W3CDTF">2021-10-27T14:09:00Z</dcterms:created>
  <dcterms:modified xsi:type="dcterms:W3CDTF">2021-11-10T15:23:00Z</dcterms:modified>
</cp:coreProperties>
</file>